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72" w:rsidRDefault="000E1D72">
      <w:pPr>
        <w:pStyle w:val="ConsPlusTitle"/>
        <w:jc w:val="center"/>
      </w:pPr>
      <w:bookmarkStart w:id="0" w:name="_GoBack"/>
      <w:bookmarkEnd w:id="0"/>
    </w:p>
    <w:p w:rsidR="000E1D72" w:rsidRDefault="000E1D72" w:rsidP="000E1D72">
      <w:pPr>
        <w:pStyle w:val="ConsPlusTitle"/>
      </w:pPr>
    </w:p>
    <w:p w:rsidR="000E1D72" w:rsidRDefault="000E1D72">
      <w:pPr>
        <w:pStyle w:val="ConsPlusTitle"/>
        <w:jc w:val="center"/>
      </w:pPr>
      <w:r>
        <w:t>ПЛАВАТЕЛЬНЫЕ БАССЕЙНЫ.</w:t>
      </w:r>
    </w:p>
    <w:p w:rsidR="000E1D72" w:rsidRDefault="000E1D72">
      <w:pPr>
        <w:pStyle w:val="ConsPlusTitle"/>
        <w:jc w:val="center"/>
      </w:pPr>
      <w:r>
        <w:t>ГИГИЕНИЧЕСКИЕ ТРЕБОВАНИЯ К УСТРОЙСТВУ, ЭКСПЛУАТАЦИИ</w:t>
      </w:r>
    </w:p>
    <w:p w:rsidR="000E1D72" w:rsidRDefault="000E1D72">
      <w:pPr>
        <w:pStyle w:val="ConsPlusTitle"/>
        <w:jc w:val="center"/>
      </w:pPr>
      <w:r>
        <w:t>И КАЧЕСТВУ ВОДЫ. КОНТРОЛЬ КАЧЕСТВА</w:t>
      </w:r>
    </w:p>
    <w:p w:rsidR="000E1D72" w:rsidRDefault="000E1D72">
      <w:pPr>
        <w:pStyle w:val="ConsPlusTitle"/>
        <w:jc w:val="center"/>
      </w:pPr>
    </w:p>
    <w:p w:rsidR="000E1D72" w:rsidRDefault="000E1D72">
      <w:pPr>
        <w:pStyle w:val="ConsPlusTitle"/>
        <w:jc w:val="center"/>
      </w:pPr>
      <w:r>
        <w:t>Санитарно-эпидемиологические правила и нормативы</w:t>
      </w:r>
    </w:p>
    <w:p w:rsidR="000E1D72" w:rsidRDefault="000E1D72">
      <w:pPr>
        <w:pStyle w:val="ConsPlusTitle"/>
        <w:jc w:val="center"/>
      </w:pPr>
      <w:r>
        <w:t>СанПиН 2.1.2.1188-03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 xml:space="preserve">1.1. Настоящие государственные санитарно-эпидемиологические правила и нормативы (далее - санитарные правила) разработаны на основании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1650),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июля 2000 г.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3295).</w:t>
      </w:r>
    </w:p>
    <w:p w:rsidR="000E1D72" w:rsidRDefault="000E1D72">
      <w:pPr>
        <w:pStyle w:val="ConsPlusNormal"/>
        <w:spacing w:before="220"/>
        <w:ind w:firstLine="540"/>
        <w:jc w:val="both"/>
      </w:pPr>
      <w:proofErr w:type="gramStart"/>
      <w:r>
        <w:t>Санитарные правила распространяются на действующие, реконструируемые и строящиеся плавательные бассейны спортивно-оздоровительного назначения, в том числе на открытые, на бассейны при школьных, дошкольных и оздоровительных учреждениях, банных комплексах и саунах, а также на бассейны с морской водой, вне зависимости от ведомственной принадлежности и форм собственности.</w:t>
      </w:r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r>
        <w:t>Санитарные правила не распространяются на бассейны медицинского назначения, где проводятся лечебные процедуры или требуется вода специального минерального состава, а также на судовые плавательные бассейны.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1.2. Санитарные правила предназначены для юридических лиц и индивидуальных предпринимателей, осуществляющих проектирование, строительство, реконструкцию и эксплуатацию плавательных бассейнов, а также для органов и учреждений санитарно-эпидемиологической службы, осуществляющих государственный санитарно-эпидемиологический надзор.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1.3. Санитарные правила устанавливают санитарно-эпидемиологические требования к проектированию, строительству и режиму эксплуатации плавательных бассейнов, качеству поступающей и содержащейся в них воды и ее обеззараживанию, а также к уборке и дезинфекции помещений. </w:t>
      </w:r>
      <w:proofErr w:type="gramStart"/>
      <w:r>
        <w:t xml:space="preserve">Выполнение предъявляемых требований обеспечивает эпидемическую безопасность в отношении грибковых, вирусных, бактериальных и паразитарных заболеваний, передаваемых через воду, и предупреждает возможность вредного влияния химического состава воды на организм человека, в том числе раздражающего действия на слизистые и кожу и интоксикаций при поступлении вредных веществ при дыхании, через неповрежденную кожу и при заглатывании воды </w:t>
      </w:r>
      <w:hyperlink w:anchor="P462" w:history="1">
        <w:r>
          <w:rPr>
            <w:color w:val="0000FF"/>
          </w:rPr>
          <w:t>(приложение N 2).</w:t>
        </w:r>
      </w:hyperlink>
      <w:proofErr w:type="gramEnd"/>
    </w:p>
    <w:p w:rsidR="000E1D72" w:rsidRDefault="000E1D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1D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1D72" w:rsidRDefault="000E1D7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E1D72" w:rsidRDefault="000E1D72">
            <w:pPr>
              <w:pStyle w:val="ConsPlusNormal"/>
              <w:jc w:val="both"/>
            </w:pPr>
            <w:r>
              <w:rPr>
                <w:color w:val="392C69"/>
              </w:rPr>
              <w:t xml:space="preserve">С 1 июля 2010 года выдача санитарно-эпидемиологических заключений на товары (продукцию) не производится в связи с вступлением в силу Единых санитарно-эпидемиологических и гигиенических </w:t>
            </w:r>
            <w:hyperlink r:id="rId7" w:history="1">
              <w:r>
                <w:rPr>
                  <w:color w:val="0000FF"/>
                </w:rPr>
                <w:t>требований</w:t>
              </w:r>
            </w:hyperlink>
            <w:r>
              <w:rPr>
                <w:color w:val="392C69"/>
              </w:rPr>
              <w:t xml:space="preserve"> к продукции (товарам), подлежащей санитарно-эпидемиологическому надзору (контролю), согласно которым на товары (продукцию), включенные в </w:t>
            </w:r>
            <w:hyperlink r:id="rId8" w:history="1">
              <w:r>
                <w:rPr>
                  <w:color w:val="0000FF"/>
                </w:rPr>
                <w:t>раздел II</w:t>
              </w:r>
            </w:hyperlink>
            <w:r>
              <w:rPr>
                <w:color w:val="392C69"/>
              </w:rPr>
              <w:t xml:space="preserve"> Единого перечня, выдается </w:t>
            </w:r>
            <w:hyperlink r:id="rId9" w:history="1">
              <w:r>
                <w:rPr>
                  <w:color w:val="0000FF"/>
                </w:rPr>
                <w:t>свидетельство</w:t>
              </w:r>
            </w:hyperlink>
            <w:r>
              <w:rPr>
                <w:color w:val="392C69"/>
              </w:rPr>
              <w:t xml:space="preserve"> о государственной регистрации, подтверждающее безопасность продукции.</w:t>
            </w:r>
          </w:p>
        </w:tc>
      </w:tr>
    </w:tbl>
    <w:p w:rsidR="000E1D72" w:rsidRDefault="000E1D72">
      <w:pPr>
        <w:pStyle w:val="ConsPlusNormal"/>
        <w:spacing w:before="280"/>
        <w:ind w:firstLine="540"/>
        <w:jc w:val="both"/>
      </w:pPr>
      <w:bookmarkStart w:id="1" w:name="P54"/>
      <w:bookmarkEnd w:id="1"/>
      <w:r>
        <w:lastRenderedPageBreak/>
        <w:t>1.4. Реагенты и дезинфицирующие средства, а также конструкционные и отделочные материалы допускаются к использованию только при наличии положительного санитарно-эпидемиологического заключения, выданного в установленном порядке.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В процессе эксплуатации плавательного бассейна остаточное содержание (концентрация) химических веществ в воде и воздухе (зоне дыхания) не должно превышать </w:t>
      </w:r>
      <w:hyperlink r:id="rId10" w:history="1">
        <w:r>
          <w:rPr>
            <w:color w:val="0000FF"/>
          </w:rPr>
          <w:t>гигиенические нормативы</w:t>
        </w:r>
      </w:hyperlink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1.5. Ввод в эксплуатацию вновь построенных или реконструированных плавательных бассейнов, а также подвергшихся перепланировке или переоборудованию, допускается при наличии положительного заключения органов государственного санитарно-эпидемиологического надзора.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1.6. Ответственными за соблюдение настоящих санитарных </w:t>
      </w:r>
      <w:proofErr w:type="gramStart"/>
      <w:r>
        <w:t>правил</w:t>
      </w:r>
      <w:proofErr w:type="gramEnd"/>
      <w:r>
        <w:t xml:space="preserve"> и проведение производственного контроля являются руководители организаций, эксплуатирующих плавательные бассейны, независимо от их ведомственной принадлежности и форм собственности.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1"/>
      </w:pPr>
      <w:r>
        <w:t>II. Гигиенические требования к проектированию</w:t>
      </w:r>
    </w:p>
    <w:p w:rsidR="000E1D72" w:rsidRDefault="000E1D72">
      <w:pPr>
        <w:pStyle w:val="ConsPlusNormal"/>
        <w:jc w:val="center"/>
      </w:pPr>
      <w:r>
        <w:t>и строительству плавательных бассейнов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>2.1. При выборе земельного участка для размещения плавательных бассейнов, привязке типовых проектов, а также проектировании, строительстве и реконструкции бассейнов должны соблюдаться требования настоящих санитарных правил.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2.2. Плавательные бассейны со вспомогательными помещениями для их обслуживания могут размещаться в отдельно стоящих зданиях, а также быть пристроенными (или встроенными) в здания гражданского назначения в соответствии с действующими строительными нормами и правилами.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2.3. При устройстве открытых бассейнов озеленение площади отведенного участка принимается не менее чем на 35% кустарником или низкорослыми деревьями. По периметру участка предусматриваются </w:t>
      </w:r>
      <w:proofErr w:type="spellStart"/>
      <w:r>
        <w:t>ветро</w:t>
      </w:r>
      <w:proofErr w:type="spellEnd"/>
      <w:r>
        <w:t>- и пылезащитные полосы древесных и кустарниковых насаждений шириной не менее 5 м со стороны проездов местного значения и не менее 20 м - со стороны магистральных дорог с интенсивным движением.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Удаление ванн открытого бассейна от красной линии принимается не менее 15 метров; от территории больниц, детских школьных и дошкольных учреждений, а также жилых домов и автостоянок - не менее 100 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2.4. Санитарно-гигиенические требования к устройству бассейнов в соответствии с их назначением указаны в </w:t>
      </w:r>
      <w:hyperlink w:anchor="P241" w:history="1">
        <w:r>
          <w:rPr>
            <w:color w:val="0000FF"/>
          </w:rPr>
          <w:t>таблице 1.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bookmarkStart w:id="2" w:name="P67"/>
      <w:bookmarkEnd w:id="2"/>
      <w:r>
        <w:t>2.5. Внутренняя планировка основных помещений бассейна должна соответствовать гигиеническому принципу поточности: продвижение посетителей осуществляется по функциональной схеме - гардероб, раздевальня, душевая, ножная ванна, ванна бассейна. При этом необходимо разделение зоны "босых" и "обутых" ног, для чего рекомендуется устраивать в раздевальне проходные кабины для переодевания с двумя входами (выходами), а также должно быть предусмотрено, чтобы посетитель не мог пройти к ванне, минуя душевую.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2.6. Требования к вспомогательным помещениям.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2.6.1. Санузлы размещаются при раздевальнях: в женских санузлах предусматривается 1 унитаз не более чем на 30 человек, в мужских - 1 унитаз и 1 писсуар не более чем на 45 человек в смену.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>2.6.2. Душевые необходимо предусматривать проходными и располагать на пути движения из раздевальни к обходной дорожке; душевые устраиваются из расчета 1 душевая сетка на 3-х человек в смену.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2.6.3. В раздевальнях или смежных с ними помещениях устанавливаются сушки для волос (фены) из расчета 1 прибор на 10 мест - для женщин и 1 прибор на 20 мест - для мужчин в смену.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2.6.4. Не допускается располагать санитарные узлы и душевые над помещениями для приготовления и хранения коагулирующих и дезинфицирующих растворов.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2.7. На пути движения от душа к ванне бассейна должны размещаться ножные ванны с проточной водой, размеры которых исключают возможность их обхода или перепрыгивания: по ширине они должны занимать весь проход, по направлению движения иметь длину не менее 1,8 м, глубину 0,1 - 0,15 м, дно ванн не должно быть скользким.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В ножные ванны должна подаваться очищенная и обеззараженная вода из системы водоподготовки бассейна или системы питьевого водоснабжения.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Допускается отсутствие ножных ванн при непосредственном выходе из душевых на обходную дорожку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2.8. Выплывы при выходе из душевых в ванны открытых бассейнов устраиваются в боковой части продольной стены с мелкой стороны ванны. Ширина выплыва 1,8 - 2,2 м, глубина воды 0,9 - 1,0 м - для взрослых и 0,6 - 0,7 м - для детей. Над выплывом предусматривается затвор, предохраняющий помещения от холодного воздуха. Нижняя кромка затвора должна быть обрамлена эластичными материалами, препятствующими поступлению холодного воздуха, и опускаться в воду на 10 - 15 см. Выплывы должны быть оборудованы в виде тамбура и защищены от возможного поступления воды из душевых.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2.9. Обходные дорожки и стационарные скамьи должны обогреваться. Поверхность обходных дорожек должна быть нескользкой и иметь уклон 0,01 - 0,02 в сторону трапов.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2.10. Для удаления загрязненного верхнего слоя воды в стенках ванн должны предусматриваться переливные желоба (пенные корытца) или другие технические переливные устройства (</w:t>
      </w:r>
      <w:proofErr w:type="spellStart"/>
      <w:r>
        <w:t>скиммеры</w:t>
      </w:r>
      <w:proofErr w:type="spellEnd"/>
      <w:r>
        <w:t>).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2.11. Для покрытия обходных дорожек, стен и дна ванн должны использоваться материалы, устойчивые к применяемым реагентам и </w:t>
      </w:r>
      <w:proofErr w:type="spellStart"/>
      <w:r>
        <w:t>дезинфектантам</w:t>
      </w:r>
      <w:proofErr w:type="spellEnd"/>
      <w:r>
        <w:t xml:space="preserve"> и позволяющие проводить качественную механическую чистку и дезинфекцию, с учетом </w:t>
      </w:r>
      <w:hyperlink w:anchor="P54" w:history="1">
        <w:r>
          <w:rPr>
            <w:color w:val="0000FF"/>
          </w:rPr>
          <w:t>п. 1.4</w:t>
        </w:r>
      </w:hyperlink>
      <w:r>
        <w:t xml:space="preserve"> настоящих санитарных правил. Швы между облицовочными плитами должны тщательно затираться.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Использование деревянных трапов в душевых и гардеробных не допускается.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2.12. В составе помещений плавательного бассейна спортивного и спортивно-оздоровительного назначения должны быть предусмотрены комната для медицинского персонала с выходом на обходную дорожку и помещение производственной лаборатории для проведения анализов.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2.13. Для бассейнов с морской водой выбор места водозабора должен проводиться с учетом санитарной ситуации и качества воды на участках моря, которые находятся вне влияния источников загрязнения - выпусков ливневых и сточных вод, выносов рек, загрязнений от портов и причалов, пляжей и т.п. При этом оголовок водозабора должен быть на высоте не менее 2-х метров от донной поверхности с подачей морской воды из средних слоев.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2.14. Плавательные бассейны должны оборудоваться системами, обеспечивающими </w:t>
      </w:r>
      <w:proofErr w:type="spellStart"/>
      <w:r>
        <w:t>водообмен</w:t>
      </w:r>
      <w:proofErr w:type="spellEnd"/>
      <w:r>
        <w:t xml:space="preserve"> в ваннах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 xml:space="preserve">По характеру </w:t>
      </w:r>
      <w:proofErr w:type="spellStart"/>
      <w:r>
        <w:t>водообмена</w:t>
      </w:r>
      <w:proofErr w:type="spellEnd"/>
      <w:r>
        <w:t xml:space="preserve"> допускаются к эксплуатации следующие типы бассейнов: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бассейны </w:t>
      </w:r>
      <w:proofErr w:type="spellStart"/>
      <w:r>
        <w:t>рециркуляционного</w:t>
      </w:r>
      <w:proofErr w:type="spellEnd"/>
      <w:r>
        <w:t xml:space="preserve"> типа;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бассейны проточного типа;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бассейны с периодической сменой воды.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2.15. Очистка и обеззараживание воды в бассейнах </w:t>
      </w:r>
      <w:proofErr w:type="spellStart"/>
      <w:r>
        <w:t>рециркуляционного</w:t>
      </w:r>
      <w:proofErr w:type="spellEnd"/>
      <w:r>
        <w:t xml:space="preserve"> типа осуществляется методами, включающими фильтрацию (с коагулянтом или без него) и ввод обеззараживающего агента.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Допускается применение других методов очистки воды, обеспечивающих требуемое качество воды, после получения положительного санитарно-эпидемиологического заключения.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2.16. 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Озонаторная установка должна иметь дегазатор для нейтрализации непрореагировавшего озона, выбрасываемого в атмосферу.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2.17. Системы, обеспечивающие </w:t>
      </w:r>
      <w:proofErr w:type="spellStart"/>
      <w:r>
        <w:t>водообмен</w:t>
      </w:r>
      <w:proofErr w:type="spellEnd"/>
      <w:r>
        <w:t xml:space="preserve"> в ваннах бассейна, должны быть оборудованы расходомерами или иными приборами, позволяющими определить количество </w:t>
      </w:r>
      <w:proofErr w:type="spellStart"/>
      <w:r>
        <w:t>рециркуляционной</w:t>
      </w:r>
      <w:proofErr w:type="spellEnd"/>
      <w:r>
        <w:t xml:space="preserve"> воды, подаваемой в ванну, а также количество свежей водопроводной воды, поступающей в ванну бассейна </w:t>
      </w:r>
      <w:proofErr w:type="spellStart"/>
      <w:r>
        <w:t>рециркуляционного</w:t>
      </w:r>
      <w:proofErr w:type="spellEnd"/>
      <w:r>
        <w:t xml:space="preserve"> или проточного типа.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2.18. Система подачи воды в ванны должна обеспечивать равномерное распределение ее по всему объему для поддержания постоянства температуры воды и концентрации </w:t>
      </w:r>
      <w:proofErr w:type="spellStart"/>
      <w:r>
        <w:t>дезинфектантов</w:t>
      </w:r>
      <w:proofErr w:type="spellEnd"/>
      <w:r>
        <w:t>. Кроме того, указанная система должна быть оборудована кранами для отбора проб воды для исследования по этапам водоподготовки: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поступающей</w:t>
      </w:r>
      <w:proofErr w:type="gramEnd"/>
      <w:r>
        <w:t xml:space="preserve"> - в бассейнах всех типов;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до и после фильтров - в бассейнах </w:t>
      </w:r>
      <w:proofErr w:type="spellStart"/>
      <w:r>
        <w:t>рециркуляционного</w:t>
      </w:r>
      <w:proofErr w:type="spellEnd"/>
      <w:r>
        <w:t xml:space="preserve"> типа;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после обеззараживания перед подачей воды в ванну.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2.19. </w:t>
      </w:r>
      <w:proofErr w:type="gramStart"/>
      <w:r>
        <w:t>Отвод воды из ванн плавательных бассейнов на рециркуляцию может осуществляться как через переливные технические устройства, так и через отверстия в дне, располагаемые в глубокой и мелкой частях ванн.</w:t>
      </w:r>
      <w:proofErr w:type="gramEnd"/>
      <w:r>
        <w:t xml:space="preserve"> Расчетную скорость движения воды в отводящих отверстиях, перекрытых решетками, следует принимать 0,4 - 0,5 м/сек.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2.20. Сброс загрязненной воды из ванн плавательных бассейнов, а также от промывки фильтров, а также из переливных желобов, от ножных ванн, с обходных дорожек и от мытья стенок и дна ванн бассейнов должен осуществляться в канализацию. При отсутствии централизованной системы канализации указанная вода может быть отведена в водный объект при наличии положительного санитарно-эпидемиологического заключения.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2.21. Присоединение ванн бассейнов к канализационным трубопроводам должно исключать возможность обратного попадания стока и запаха из канализации в ванны, для этого трубопроводы должны иметь воздушные разрывы перед гидравлическим затвором.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2.22. Для залов ванн бассейнов, залов для подготовительных занятий, помещений насосно-фильтровальной, </w:t>
      </w:r>
      <w:proofErr w:type="spellStart"/>
      <w:r>
        <w:t>хлораторной</w:t>
      </w:r>
      <w:proofErr w:type="spellEnd"/>
      <w:r>
        <w:t xml:space="preserve"> и озонаторной необходимо предусматривать самостоятельные системы приточной и вытяжной вентиляции. Пульты для включения систем вентиляции, обслуживающих </w:t>
      </w:r>
      <w:proofErr w:type="spellStart"/>
      <w:r>
        <w:t>хлораторную</w:t>
      </w:r>
      <w:proofErr w:type="spellEnd"/>
      <w:r>
        <w:t xml:space="preserve"> и </w:t>
      </w:r>
      <w:proofErr w:type="gramStart"/>
      <w:r>
        <w:t>озонаторную</w:t>
      </w:r>
      <w:proofErr w:type="gramEnd"/>
      <w:r>
        <w:t xml:space="preserve">, должны быть вне помещений, где они </w:t>
      </w:r>
      <w:r>
        <w:lastRenderedPageBreak/>
        <w:t>расположены.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2.23. Во избежание образования холодных потоков воздуха от окон приборы отопления следует располагать под ними и у наружных стен. Приборы и трубопроводы отопления, расположенные в залах подготовительных занятий на высоте до 2,0 м от пола, должны быть защищены решетками или панелями, не выступающими из плоскости стен и допускающими уборку их влажным способом.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1"/>
      </w:pPr>
      <w:r>
        <w:t>III. Гигиенические требования к режиму эксплуатации</w:t>
      </w:r>
    </w:p>
    <w:p w:rsidR="000E1D72" w:rsidRDefault="000E1D72">
      <w:pPr>
        <w:pStyle w:val="ConsPlusNormal"/>
        <w:jc w:val="center"/>
      </w:pPr>
      <w:r>
        <w:t>плавательных бассейнов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>3.1. Для обеспечения соответствующего гигиеническим требованиям качества воды бассейнов необходимо обновление воды в ваннах.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Ванна должна наполняться до края переливных желобов, использование ее при неполном заполнении не допускается.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3.2. Допустимая нагрузка на бассейн в единицу времени (пропускная способность человек в смену) должна определяться исходя из нормативных требований к площади зеркала воды на 1 человека в соответствии с видом бассейна по </w:t>
      </w:r>
      <w:hyperlink w:anchor="P241" w:history="1">
        <w:r>
          <w:rPr>
            <w:color w:val="0000FF"/>
          </w:rPr>
          <w:t>таблице N 1.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3.3. При </w:t>
      </w:r>
      <w:proofErr w:type="spellStart"/>
      <w:r>
        <w:t>рециркуляционном</w:t>
      </w:r>
      <w:proofErr w:type="spellEnd"/>
      <w:r>
        <w:t xml:space="preserve"> </w:t>
      </w:r>
      <w:proofErr w:type="spellStart"/>
      <w:r>
        <w:t>водообмене</w:t>
      </w:r>
      <w:proofErr w:type="spellEnd"/>
      <w:r>
        <w:t xml:space="preserve"> осуществляется очистка, обеззараживание воды и добавление непрерывно во время работы бассейна свежей водопроводной воды не менее чем 50 литров на каждого посетителя в сутки.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При озонировании воды допускается добавление свежей воды не менее чем 30 литров на каждого посетителя в сутки.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3.4. При </w:t>
      </w:r>
      <w:proofErr w:type="spellStart"/>
      <w:r>
        <w:t>рециркуляционном</w:t>
      </w:r>
      <w:proofErr w:type="spellEnd"/>
      <w:r>
        <w:t xml:space="preserve"> </w:t>
      </w:r>
      <w:proofErr w:type="spellStart"/>
      <w:r>
        <w:t>водообмене</w:t>
      </w:r>
      <w:proofErr w:type="spellEnd"/>
      <w:r>
        <w:t xml:space="preserve"> </w:t>
      </w:r>
      <w:proofErr w:type="spellStart"/>
      <w:r>
        <w:t>рециркуляционный</w:t>
      </w:r>
      <w:proofErr w:type="spellEnd"/>
      <w:r>
        <w:t xml:space="preserve"> расход должен быть не менее 2 м</w:t>
      </w:r>
      <w:r>
        <w:rPr>
          <w:vertAlign w:val="superscript"/>
        </w:rPr>
        <w:t>3</w:t>
      </w:r>
      <w:r>
        <w:t xml:space="preserve">/час на каждого посетителя при хлорировании и </w:t>
      </w:r>
      <w:proofErr w:type="spellStart"/>
      <w:r>
        <w:t>бромировании</w:t>
      </w:r>
      <w:proofErr w:type="spellEnd"/>
      <w:r>
        <w:t>, 1,8 м</w:t>
      </w:r>
      <w:r>
        <w:rPr>
          <w:vertAlign w:val="superscript"/>
        </w:rPr>
        <w:t>3</w:t>
      </w:r>
      <w:r>
        <w:t xml:space="preserve">/ч - при </w:t>
      </w:r>
      <w:proofErr w:type="gramStart"/>
      <w:r>
        <w:t>УФ-излучении</w:t>
      </w:r>
      <w:proofErr w:type="gramEnd"/>
      <w:r>
        <w:t xml:space="preserve"> и не менее 1,6 м</w:t>
      </w:r>
      <w:r>
        <w:rPr>
          <w:vertAlign w:val="superscript"/>
        </w:rPr>
        <w:t>3</w:t>
      </w:r>
      <w:r>
        <w:t xml:space="preserve">/час - при озонировании. При этом время полного </w:t>
      </w:r>
      <w:proofErr w:type="spellStart"/>
      <w:r>
        <w:t>водообмена</w:t>
      </w:r>
      <w:proofErr w:type="spellEnd"/>
      <w:r>
        <w:t xml:space="preserve"> и количество посетителей должно рассчитываться в соответствии с </w:t>
      </w:r>
      <w:hyperlink w:anchor="P241" w:history="1">
        <w:r>
          <w:rPr>
            <w:color w:val="0000FF"/>
          </w:rPr>
          <w:t>таблицей N 1.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bookmarkStart w:id="3" w:name="P112"/>
      <w:bookmarkEnd w:id="3"/>
      <w:r>
        <w:t>3.5. В малых бассейнах с площадью зеркала воды не более 100 м</w:t>
      </w:r>
      <w:proofErr w:type="gramStart"/>
      <w:r>
        <w:rPr>
          <w:vertAlign w:val="superscript"/>
        </w:rPr>
        <w:t>2</w:t>
      </w:r>
      <w:proofErr w:type="gramEnd"/>
      <w:r>
        <w:t xml:space="preserve"> (при школьных, дошкольных и оздоровительных учреждениях, банных комплексах, саунах и др.) </w:t>
      </w:r>
      <w:proofErr w:type="spellStart"/>
      <w:r>
        <w:t>водообмен</w:t>
      </w:r>
      <w:proofErr w:type="spellEnd"/>
      <w:r>
        <w:t xml:space="preserve"> допускается осуществлять непрерывным протоком водопроводной воды, при этом время полной смены воды (</w:t>
      </w:r>
      <w:proofErr w:type="spellStart"/>
      <w:r>
        <w:t>водообмена</w:t>
      </w:r>
      <w:proofErr w:type="spellEnd"/>
      <w:r>
        <w:t>) в ваннах для детей должно приниматься не более 8 часов, а в остальных ваннах - не более 12 часов.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При невозможности обеспечения непрерывного протока водопроводной воды должна проводиться ежедневная полная смена воды в ваннах бассейнов школьных и дошкольных учреждений, а также малых бассейнов в саунах и банных комплексах.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В детских летних оздоровительных учреждениях сезонного типа при отсутствии водопроводной воды питьевого качества в надлежащем количестве по согласованию с органами госсанэпиднадзора допускается устройство бассейнов с периодическим наполнением из поверхностного или подземного источников, а также морской водой при соблюдении требований, указанных в </w:t>
      </w:r>
      <w:hyperlink w:anchor="P112" w:history="1">
        <w:r>
          <w:rPr>
            <w:color w:val="0000FF"/>
          </w:rPr>
          <w:t>п. 3.5</w:t>
        </w:r>
      </w:hyperlink>
      <w:r>
        <w:t xml:space="preserve"> и </w:t>
      </w:r>
      <w:hyperlink w:anchor="P171" w:history="1">
        <w:r>
          <w:rPr>
            <w:color w:val="0000FF"/>
          </w:rPr>
          <w:t>п. 4.4</w:t>
        </w:r>
      </w:hyperlink>
      <w:r>
        <w:t xml:space="preserve"> настоящих санитарных правил.</w:t>
      </w:r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3.7. Организация перерывов между сменами, их необходимость и продолжительность решаются по согласованию с местными органами госсанэпиднадзора в зависимости от качества воды в ванне бассейна, количества посетителей и соблюдения ими правил личной гигиены (душ), санитарного состояния помещений, регулярности и качества уборки и др.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Ухудшение качества воды в ванне бассейна при отсутствии перерывов требует срочного принятия административных мер по повышению контроля </w:t>
      </w:r>
      <w:proofErr w:type="gramStart"/>
      <w:r>
        <w:t>за</w:t>
      </w:r>
      <w:proofErr w:type="gramEnd"/>
      <w:r>
        <w:t>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>- уборкой и дезинфекцией помещений;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обеззараживанием воды;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соответствием количества посетителей требованиям </w:t>
      </w:r>
      <w:hyperlink w:anchor="P241" w:history="1">
        <w:r>
          <w:rPr>
            <w:color w:val="0000FF"/>
          </w:rPr>
          <w:t>таблицы N 1</w:t>
        </w:r>
      </w:hyperlink>
      <w:r>
        <w:t xml:space="preserve"> и соблюдением ими правил личной гигиены и т.д.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Если указанные меры не привели к улучшению качества воды в ванне бассейна, то необходимо введение перерывов между сменами с оптимальной продолжительностью.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3.8. Обеззараживание воды.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3.8.1. Обеззараживание воды, поступающей в ванны плавательных бассейнов, должно быть обязательным для всех бассейнов </w:t>
      </w:r>
      <w:proofErr w:type="spellStart"/>
      <w:r>
        <w:t>рециркуляционного</w:t>
      </w:r>
      <w:proofErr w:type="spellEnd"/>
      <w:r>
        <w:t xml:space="preserve"> типа, а также для проточных бассейнов с морской водой.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5" w:name="P123"/>
      <w:bookmarkEnd w:id="5"/>
      <w:r>
        <w:t xml:space="preserve">3.8.2. Для бассейнов спортивного и спортивно-оздоровительного назначения в качестве основных методов обеззараживания воды могут быть использованы озонирование, хлорирование, </w:t>
      </w:r>
      <w:proofErr w:type="spellStart"/>
      <w:r>
        <w:t>бромирование</w:t>
      </w:r>
      <w:proofErr w:type="spellEnd"/>
      <w:r>
        <w:t>, а также ультрафиолетовое излучение с дозой не менее 16 мДж/см</w:t>
      </w:r>
      <w:proofErr w:type="gramStart"/>
      <w:r>
        <w:rPr>
          <w:vertAlign w:val="superscript"/>
        </w:rPr>
        <w:t>2</w:t>
      </w:r>
      <w:proofErr w:type="gramEnd"/>
      <w:r>
        <w:t xml:space="preserve"> вне зависимости от типа установки; для повышения надежности обеззараживания целесообразно комбинирование химических методов с УФ-излучением.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При хлорировании воды водородный показатель (</w:t>
      </w:r>
      <w:proofErr w:type="spellStart"/>
      <w:r>
        <w:t>pH</w:t>
      </w:r>
      <w:proofErr w:type="spellEnd"/>
      <w:r>
        <w:t>) должен быть не более 7,8.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Учитывая опасность для здоровья побочных продуктов хлорирования (галогеносодержащих соединений), следует отдавать предпочтение альтернативным методам обеззараживания.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3.8.3. Использование других методов обеззараживания, не указанных в </w:t>
      </w:r>
      <w:hyperlink w:anchor="P123" w:history="1">
        <w:r>
          <w:rPr>
            <w:color w:val="0000FF"/>
          </w:rPr>
          <w:t>п. 3.8.2,</w:t>
        </w:r>
      </w:hyperlink>
      <w:r>
        <w:t xml:space="preserve"> допускается в том случае, если надежность и безопасность их обоснована специальными технологическими и гигиеническими исследованиями после получения положительного санитарно-эпидемиологического заключения.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3.8.4. Для бассейнов с непрерывным протоком воды рекомендуется использование физических методов обеззараживания (в частности, ультрафиолетового излучения).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Допускается без дополнительного обеззараживания эксплуатация бассейнов проточного типа с водой, поступающей из централизованной системы питьевого водоснабжения, а также бассейнов, указанных в п. </w:t>
      </w:r>
      <w:hyperlink w:anchor="P112" w:history="1">
        <w:r>
          <w:rPr>
            <w:color w:val="0000FF"/>
          </w:rPr>
          <w:t>3.5,</w:t>
        </w:r>
      </w:hyperlink>
      <w:r>
        <w:t xml:space="preserve"> если качество воды в ванне по микробиологическим показателям соответствует требованиям </w:t>
      </w:r>
      <w:hyperlink w:anchor="P344" w:history="1">
        <w:r>
          <w:rPr>
            <w:color w:val="0000FF"/>
          </w:rPr>
          <w:t>таблицы N 3</w:t>
        </w:r>
      </w:hyperlink>
      <w:r>
        <w:t xml:space="preserve"> настоящих санитарных правил.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3.8.5. При хлорировании и </w:t>
      </w:r>
      <w:proofErr w:type="spellStart"/>
      <w:r>
        <w:t>бромировании</w:t>
      </w:r>
      <w:proofErr w:type="spellEnd"/>
      <w:r>
        <w:t xml:space="preserve"> воды концентрированный раствор </w:t>
      </w:r>
      <w:proofErr w:type="spellStart"/>
      <w:r>
        <w:t>дезинфектанта</w:t>
      </w:r>
      <w:proofErr w:type="spellEnd"/>
      <w:r>
        <w:t xml:space="preserve"> добавляют в воду: при проточной системе - в подающий трубопровод, при </w:t>
      </w:r>
      <w:proofErr w:type="spellStart"/>
      <w:r>
        <w:t>рециркуляционной</w:t>
      </w:r>
      <w:proofErr w:type="spellEnd"/>
      <w:r>
        <w:t xml:space="preserve"> - перед фильтрами или после фильтров (в зависимости от принятой схемы и результатов апробации), а при обеззараживании озоном или </w:t>
      </w:r>
      <w:proofErr w:type="gramStart"/>
      <w:r>
        <w:t>УФ-излучением</w:t>
      </w:r>
      <w:proofErr w:type="gramEnd"/>
      <w:r>
        <w:t xml:space="preserve"> - после фильтров. Рабочая доза обеззараживающего реагента определяется опытным путем из расчета постоянного поддержания остаточной его концентрации в соответствии с </w:t>
      </w:r>
      <w:hyperlink w:anchor="P344" w:history="1">
        <w:r>
          <w:rPr>
            <w:color w:val="0000FF"/>
          </w:rPr>
          <w:t>таблицей N 3.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3.8.6. В период продолжительного перерыва в работе бассейна (более 2 часов) допускается повышенное содержание обеззараживающих веществ в воде ванн до следующих остаточных концентраций: 1,5 мг/л - свободного хлора, 2,0 мг/л - связанного хлора, 2,0 мг/л - брома и 0,5 мг/л - озона. К началу приема посетителей остаточное содержание указанных обеззараживающих веществ не должно превышать уровней, приведенных в </w:t>
      </w:r>
      <w:hyperlink w:anchor="P344" w:history="1">
        <w:r>
          <w:rPr>
            <w:color w:val="0000FF"/>
          </w:rPr>
          <w:t>таблице N 3.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>3.9. Требования к уборке и дезинфекции помещений и ванн.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3.9.1. Ежедневная уборка должна проводиться в конце рабочего дня. Необходимость уборки </w:t>
      </w:r>
      <w:r>
        <w:lastRenderedPageBreak/>
        <w:t xml:space="preserve">в перерывах между сменами устанавливается в соответствии с требованиями </w:t>
      </w:r>
      <w:hyperlink w:anchor="P115" w:history="1">
        <w:r>
          <w:rPr>
            <w:color w:val="0000FF"/>
          </w:rPr>
          <w:t>п. 3.7</w:t>
        </w:r>
      </w:hyperlink>
      <w:r>
        <w:t xml:space="preserve"> настоящих санитарных правил.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раздевальни, обходные дорожки, скамейки, дверные ручки и поручни. График уборки и дезинфекции утверждается администрацией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3.9.2. Генеральная уборка с профилактическим ремонтом и последующей дезинфекцией проводится не реже 1 раза в месяц.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Дезинсекционные и </w:t>
      </w:r>
      <w:proofErr w:type="spellStart"/>
      <w:r>
        <w:t>дератизационные</w:t>
      </w:r>
      <w:proofErr w:type="spellEnd"/>
      <w:r>
        <w:t xml:space="preserve"> мероприятия осуществляются специализированными службами на основании заявок или договоров.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6" w:name="P136"/>
      <w:bookmarkEnd w:id="6"/>
      <w:r>
        <w:t>3.9.3. Санитарная обработка ванны, включающая полный слив воды, механическую чистку и дезинфекцию, проводится в сроки, согласованные с органами госсанэпиднадзора.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Дезинфекция ванны бассейна, проводимая после слива воды и механической чистки, осуществляется методом двукратного орошения с расходом </w:t>
      </w:r>
      <w:proofErr w:type="spellStart"/>
      <w:r>
        <w:t>дезинфектанта</w:t>
      </w:r>
      <w:proofErr w:type="spellEnd"/>
      <w:r>
        <w:t xml:space="preserve"> 0,6 - 0,8 л/м и концентрацией раствора 100 мг/л активного хлора. Смыв дезинфицирующего раствора производится теплой водой не ранее чем через 1 час после его нанесения.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Для борьбы с обрастанием стенок ванн бассейна (преимущественно открытых) и облегчения их чистки может проводиться периодическое добавление в воду ванн раствора медного купороса (сульфата меди) с концентрацией 1,0 - 5,0 мг/л или другими разрешенными для этой цели реагентами согласно </w:t>
      </w:r>
      <w:hyperlink w:anchor="P54" w:history="1">
        <w:r>
          <w:rPr>
            <w:color w:val="0000FF"/>
          </w:rPr>
          <w:t>п. 1.4</w:t>
        </w:r>
      </w:hyperlink>
      <w:r>
        <w:t xml:space="preserve"> настоящих санитарных правил.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Дезинфекция ванн может проводиться специально обученным персоналом бассейна или силами местных дезинфекционных станций, а также отделов профилактической дезинфекции учреждений санитарно-эпидемиологической службы.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3.9.4. Для бассейнов с ежедневной полной сменой воды санитарная обработка ванны должна включать механическую очистку и обработку дезинфицирующим препаратом.</w:t>
      </w:r>
    </w:p>
    <w:p w:rsidR="000E1D72" w:rsidRDefault="000E1D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1D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1D72" w:rsidRDefault="000E1D7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E1D72" w:rsidRDefault="000E1D72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перечень рекомендуемых обеззараживающих средств и дезинфицирующих препаратов для обеззараживания воды плавательных бассейнов содержится в </w:t>
            </w:r>
            <w:hyperlink w:anchor="P516" w:history="1">
              <w:r>
                <w:rPr>
                  <w:color w:val="0000FF"/>
                </w:rPr>
                <w:t>Приложении N 3.</w:t>
              </w:r>
            </w:hyperlink>
          </w:p>
        </w:tc>
      </w:tr>
    </w:tbl>
    <w:p w:rsidR="000E1D72" w:rsidRDefault="000E1D72">
      <w:pPr>
        <w:pStyle w:val="ConsPlusNormal"/>
        <w:spacing w:before="280"/>
        <w:ind w:firstLine="540"/>
        <w:jc w:val="both"/>
      </w:pPr>
      <w:r>
        <w:t xml:space="preserve">3.10. Реагенты для обеззараживания воды плавательных бассейнов и дезинфицирующие средства для обработки помещений и ванн, разрешенные органами государственного санитарно-эпидемиологического надзора, указаны в </w:t>
      </w:r>
      <w:hyperlink w:anchor="P519" w:history="1">
        <w:r>
          <w:rPr>
            <w:color w:val="0000FF"/>
          </w:rPr>
          <w:t>приложении N 2.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>3.11. Требования к отоплению, вентиляции, микроклимату и воздушной среде помещений.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3.11.1. 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бассейнов, указанные в </w:t>
      </w:r>
      <w:hyperlink w:anchor="P295" w:history="1">
        <w:r>
          <w:rPr>
            <w:color w:val="0000FF"/>
          </w:rPr>
          <w:t>таблице N 2.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3.11.2. При температуре наружного воздуха зимой ниже -20 °C. 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тамбурах основных входов плавательных бассейнов рекомендуется устраивать воздушно-тепловые завесы. Воздушно-тепловую завесу допускается заменять тамбуром с тройными последовательно расположенными дверями.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7" w:name="P147"/>
      <w:bookmarkEnd w:id="7"/>
      <w:r>
        <w:t>3.11.3. Концентрация свободного хлора в воздухе над зеркалом воды допускается не более 0,1 мг/м</w:t>
      </w:r>
      <w:r>
        <w:rPr>
          <w:vertAlign w:val="superscript"/>
        </w:rPr>
        <w:t>3</w:t>
      </w:r>
      <w:r>
        <w:t>, озона - не более 0,16 мг/м</w:t>
      </w:r>
      <w:r>
        <w:rPr>
          <w:vertAlign w:val="superscript"/>
        </w:rPr>
        <w:t>3</w:t>
      </w:r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8" w:name="P148"/>
      <w:bookmarkEnd w:id="8"/>
      <w:r>
        <w:lastRenderedPageBreak/>
        <w:t xml:space="preserve">3.11.4. Освещенность поверхности воды должна быть не менее 100 </w:t>
      </w:r>
      <w:proofErr w:type="spellStart"/>
      <w:r>
        <w:t>лк</w:t>
      </w:r>
      <w:proofErr w:type="spellEnd"/>
      <w:r>
        <w:t xml:space="preserve">, в бассейнах для прыжков в воду - 150 </w:t>
      </w:r>
      <w:proofErr w:type="spellStart"/>
      <w:r>
        <w:t>лк</w:t>
      </w:r>
      <w:proofErr w:type="spellEnd"/>
      <w:r>
        <w:t xml:space="preserve">, для водного поло - 200 </w:t>
      </w:r>
      <w:proofErr w:type="spellStart"/>
      <w:r>
        <w:t>лк</w:t>
      </w:r>
      <w:proofErr w:type="spellEnd"/>
      <w:r>
        <w:t xml:space="preserve">. Во всех бассейнах, кроме рабочего освещения, требуется автономное аварийное освещение, обеспечивающее освещенность поверхности воды не менее 5 </w:t>
      </w:r>
      <w:proofErr w:type="spellStart"/>
      <w:r>
        <w:t>лк</w:t>
      </w:r>
      <w:proofErr w:type="spellEnd"/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9" w:name="P149"/>
      <w:bookmarkEnd w:id="9"/>
      <w:r>
        <w:t xml:space="preserve">3.11.5. Уровень шума в залах не должен превышать 60 </w:t>
      </w:r>
      <w:proofErr w:type="spellStart"/>
      <w:r>
        <w:t>дбА</w:t>
      </w:r>
      <w:proofErr w:type="spellEnd"/>
      <w:r>
        <w:t xml:space="preserve">, а уровень шума при проведении занятий и во время соревнований допускается до 82 </w:t>
      </w:r>
      <w:proofErr w:type="spellStart"/>
      <w:r>
        <w:t>дбА</w:t>
      </w:r>
      <w:proofErr w:type="spellEnd"/>
      <w:r>
        <w:t xml:space="preserve"> и 110 </w:t>
      </w:r>
      <w:proofErr w:type="spellStart"/>
      <w:r>
        <w:t>дбА</w:t>
      </w:r>
      <w:proofErr w:type="spellEnd"/>
      <w:r>
        <w:t xml:space="preserve"> соответственно.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3.12. Требования к личной гигиене посетителей и обслуживающего персонала.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3.12.1. Персонал бассейна (медработники, тренеры, инструкторы по плаванию) должен проходить предварительные при поступлении на работу и периодические медицинские осмотры в соответствии с действующим законодательством Российской Федерации в </w:t>
      </w:r>
      <w:hyperlink r:id="rId11" w:history="1">
        <w:r>
          <w:rPr>
            <w:color w:val="0000FF"/>
          </w:rPr>
          <w:t>порядке</w:t>
        </w:r>
      </w:hyperlink>
      <w:r>
        <w:t xml:space="preserve">, определяемом Министерством здравоохранения Российской Федерации. Результаты медицинского освидетельствования фиксируются в медицинских </w:t>
      </w:r>
      <w:hyperlink r:id="rId12" w:history="1">
        <w:r>
          <w:rPr>
            <w:color w:val="0000FF"/>
          </w:rPr>
          <w:t>книжках</w:t>
        </w:r>
      </w:hyperlink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Администрация бассейна обеспечивает персонал бассейна спецодеждой. Гигиеническое обучение персонала проводится учреждениями государственной санитарно-эпидемиологической службы.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10" w:name="P153"/>
      <w:bookmarkEnd w:id="10"/>
      <w:r>
        <w:t xml:space="preserve">3.12.2. Справка лечебно-профилактического учреждения, разрешающая посещение бассейна, необходима при возникновении неблагоприятной санитарно-эпидемической ситуации в данном населенном месте (городе, районе) по заболеваниям, указанным в </w:t>
      </w:r>
      <w:hyperlink w:anchor="P433" w:history="1">
        <w:r>
          <w:rPr>
            <w:color w:val="0000FF"/>
          </w:rPr>
          <w:t>приложении N 1.</w:t>
        </w:r>
      </w:hyperlink>
      <w:r>
        <w:t xml:space="preserve"> В этих случаях в целях предупреждения распространения инфекционных заболеваний центрами госсанэпиднадзора дается предписание администрации плавательных бассейнов о прекращении допуска посетителей, не прошедших медицинский осмотр с проведением соответствующих анализов.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Вне зависимости от санитарно-эпидемической ситуации детям дошкольного и младшего школьного возраста в обязательном порядке требуется справка о результатах </w:t>
      </w:r>
      <w:proofErr w:type="spellStart"/>
      <w:r>
        <w:t>паразитологического</w:t>
      </w:r>
      <w:proofErr w:type="spellEnd"/>
      <w:r>
        <w:t xml:space="preserve"> обследования на энтеробиоз: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перед приемом в плавательную группу (секцию) бассейна, в дальнейшем не менее 1 раза в три месяца;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при разовых посещениях - перед каждым посещением, если разрыв между ними более двух месяцев.</w:t>
      </w:r>
    </w:p>
    <w:p w:rsidR="000E1D72" w:rsidRDefault="000E1D72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наличием медицинской справки у посетителей обеспечивает администрация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3.12.3. Принятие душа посетителями бассейна с тщательным мытьем является обязательным. Не допускается: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использовать стеклянную тару во избежание порезов;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втирать в кожу различные кремы и мази перед пользованием бассейном.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3.12.4. Персонал бассейна должен контролировать соблюдение посетителями правил пользования бассейном, которые согласовываются с центром госсанэпиднадзора и утверждаются администрацией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Не допускается вход обслуживающего персонала в душевые, зал бассейна и зал предварительного обучения без специальной обуви.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3.12.5. При наличии необходимых помещений допускается организация проката </w:t>
      </w:r>
      <w:r>
        <w:lastRenderedPageBreak/>
        <w:t>аксессуаров: одноразовых тапочек и шапочек, а также купальников при условии обеспечения их обеззараживания.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1"/>
      </w:pPr>
      <w:bookmarkStart w:id="11" w:name="P165"/>
      <w:bookmarkEnd w:id="11"/>
      <w:r>
        <w:t>IV. Требования к качеству воды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 xml:space="preserve">4.1. Качество пресной воды, поступающей в ванну плавательного бассейна, должно отвечать гигиеническим требованиям, предъявляемым к качеству воды централизованных систем питьевого водоснабжения вне зависимости от принятой системы </w:t>
      </w:r>
      <w:proofErr w:type="spellStart"/>
      <w:r>
        <w:t>водообеспечения</w:t>
      </w:r>
      <w:proofErr w:type="spellEnd"/>
      <w:r>
        <w:t xml:space="preserve"> и характера </w:t>
      </w:r>
      <w:proofErr w:type="spellStart"/>
      <w:r>
        <w:t>водообмена</w:t>
      </w:r>
      <w:proofErr w:type="spellEnd"/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При дефиците воды питьевого качества и наличии воды, имеющей отклонения от требований </w:t>
      </w:r>
      <w:hyperlink r:id="rId13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(зарегистрированы в Министерстве юстиции Российской Федерации 31 октября 2001 г., регистрационный N 3011) только по показателям минерального состава, установленным по влиянию на органолептические свойства воды, допускается ее использование по согласованию с органами государственного санитарно-эпидемиологического надзора, если превышение ПДК не более чем в 2 раза.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4.2. Качество морской воды в местах водозаборов для плавательных бассейнов должно отвечать по физико-химическим и бактериологическим показателям </w:t>
      </w:r>
      <w:hyperlink r:id="rId14" w:history="1">
        <w:r>
          <w:rPr>
            <w:color w:val="0000FF"/>
          </w:rPr>
          <w:t>гигиеническим требованиям</w:t>
        </w:r>
      </w:hyperlink>
      <w:r>
        <w:t>, предъявляемым к прибрежным водам морей в местах водопользования населения.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4.3. В процессе эксплуатации бассейна пресная или морская вода, находящаяся в ванне, должна соответствовать требованиям, указанным в </w:t>
      </w:r>
      <w:hyperlink w:anchor="P344" w:history="1">
        <w:r>
          <w:rPr>
            <w:color w:val="0000FF"/>
          </w:rPr>
          <w:t>таблице N 3</w:t>
        </w:r>
      </w:hyperlink>
      <w:r>
        <w:t xml:space="preserve"> настоящих санитарных правил, которая включает физико-химические, основные и дополнительные микробиологические, а также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12" w:name="P171"/>
      <w:bookmarkEnd w:id="12"/>
      <w:r>
        <w:t>4.4. В сезонных бассейнах периодического наполнения, при отсутствии водопроводной воды, по согласованию с местными органами госсанэпиднадзора допускается использование воды поверхностных или подземных источников, а также морской воды, отвечающих гигиеническим требованиям к рекреационному водопользованию при условии ежедневной смены воды.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1"/>
      </w:pPr>
      <w:r>
        <w:t xml:space="preserve">V. Производственный </w:t>
      </w:r>
      <w:proofErr w:type="gramStart"/>
      <w:r>
        <w:t>контроль за</w:t>
      </w:r>
      <w:proofErr w:type="gramEnd"/>
      <w:r>
        <w:t xml:space="preserve"> эксплуатацией</w:t>
      </w:r>
    </w:p>
    <w:p w:rsidR="000E1D72" w:rsidRDefault="000E1D72">
      <w:pPr>
        <w:pStyle w:val="ConsPlusNormal"/>
        <w:jc w:val="center"/>
      </w:pPr>
      <w:r>
        <w:t>плавательных бассейнов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Организация и проведение производственного контроля за соблюдением требований настоящих санитарных правил и выполнением санитарно-противоэпидемических (профилактических) мероприятий осуществляются юридическими лицами и индивидуальными предпринимателями, эксплуатирующими плавательные бассейны, в соответствии с </w:t>
      </w:r>
      <w:hyperlink r:id="rId15" w:history="1">
        <w:r>
          <w:rPr>
            <w:color w:val="0000FF"/>
          </w:rPr>
          <w:t>СП 1.1.1058-01</w:t>
        </w:r>
      </w:hyperlink>
      <w:r>
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(зарегистрированы в Министерстве юстиции Российской Федерации 30 октября 2001 г., регистрационный N 3000).</w:t>
      </w:r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bookmarkStart w:id="13" w:name="P177"/>
      <w:bookmarkEnd w:id="13"/>
      <w:r>
        <w:t>5.1.1. Целью производственного контроля является обеспечение безопасности и (или) безвредности для посетителей плавательных бассейнов. Производственный контроль включает: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наличие у администрации официально изданных санитарных правил и методических указаний, требования которых подлежат выполнению;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осуществление (организацию) лабораторных исследований;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организацию медицинских осмотров (личные медицинские книжки), профессиональной гигиенической подготовки и аттестации персонала плавательных бассейнов;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proofErr w:type="gramStart"/>
      <w:r>
        <w:t>контроль за</w:t>
      </w:r>
      <w:proofErr w:type="gramEnd"/>
      <w:r>
        <w:t xml:space="preserve"> наличием сертификатов, санитарно-эпидемиологических заключений и иных документов, подтверждающих безопасность используемых материалов и реагентов, а также эффективность применяемых технологий водообработки;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своевременное информирование местных органов и учреждений государственной санитарно-эпидемиологической службы об авариях и нарушениях технологических процессов, создающих неблагоприятную санитарно-эпидемиологическую ситуацию для посетителей бассейна;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визуальный контроль специально уполномоченными должностными лицами за выполнением санитарно-противоэпидемических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5.2. Для реализации задач, поставленных перед производственным контролем, подготавливается программа (план) производственного </w:t>
      </w:r>
      <w:proofErr w:type="gramStart"/>
      <w:r>
        <w:t>контроля за</w:t>
      </w:r>
      <w:proofErr w:type="gramEnd"/>
      <w:r>
        <w:t xml:space="preserve"> эксплуатацией и качеством воды плавательных бассейнов с конкретизацией положений, изложенных в </w:t>
      </w:r>
      <w:hyperlink w:anchor="P177" w:history="1">
        <w:r>
          <w:rPr>
            <w:color w:val="0000FF"/>
          </w:rPr>
          <w:t>п. 5.1.1,</w:t>
        </w:r>
      </w:hyperlink>
      <w:r>
        <w:t xml:space="preserve"> в том числе с указанием перечней: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официально изданных санитарных правил, методов и методик контроля;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должностных лиц, на которых возложены функции по осуществлению производственного контроля;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должностей сотрудников, подлежащих медицинским осмотрам;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возможных аварийных ситуаций.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Указанная программа должна включать план лабораторных исследований с указанием точек отбора проб и его периодичности, а также </w:t>
      </w:r>
      <w:proofErr w:type="gramStart"/>
      <w:r>
        <w:t>контроль за</w:t>
      </w:r>
      <w:proofErr w:type="gramEnd"/>
      <w:r>
        <w:t xml:space="preserve"> соблюдением гигиенических требований к режиму эксплуатации плавательных бассейнов, изложенных в </w:t>
      </w:r>
      <w:hyperlink w:anchor="P165" w:history="1">
        <w:r>
          <w:rPr>
            <w:color w:val="0000FF"/>
          </w:rPr>
          <w:t>разделе 4</w:t>
        </w:r>
      </w:hyperlink>
      <w:r>
        <w:t xml:space="preserve"> настоящих санитарных правил.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5.2.1. Разработанная программа (план) производственного контроля согласовывается с главным врачом (заместителем главного врача) центра госсанэпиднадзора в соответствующей административной территории и утверждается руководителем организации, эксплуатирующей плавательный бассейн.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5.2.2. Юридические лица и индивидуальные предприниматели, эксплуатирующие плавательные бассейны, несут ответственность за своевременность, полноту и достоверность осуществляемого производственного контроля и обязаны представлять информацию о его результатах в центры госсанэпиднадзора по их запросам.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 В процессе эксплуатации плавательного бассейна осуществляется производственный лабораторный контроль </w:t>
      </w:r>
      <w:proofErr w:type="gramStart"/>
      <w:r>
        <w:t>за</w:t>
      </w:r>
      <w:proofErr w:type="gramEnd"/>
      <w:r>
        <w:t>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качеством воды (см. </w:t>
      </w:r>
      <w:hyperlink w:anchor="P206" w:history="1">
        <w:r>
          <w:rPr>
            <w:color w:val="0000FF"/>
          </w:rPr>
          <w:t>п. 5.3.3);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>- параметрами микроклимата;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состоянием воздушной среды в зоне дыхания пловцов;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уровнями техногенного шума и освещенности.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Проводятся также бактериологические и </w:t>
      </w:r>
      <w:proofErr w:type="spellStart"/>
      <w:r>
        <w:t>паразитологические</w:t>
      </w:r>
      <w:proofErr w:type="spellEnd"/>
      <w:r>
        <w:t xml:space="preserve"> анализы смывов с поверхностей.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 xml:space="preserve">5.3.1. При отсутствии производственной аналитической лаборатории, аккредитованной в установленном порядке, </w:t>
      </w:r>
      <w:proofErr w:type="gramStart"/>
      <w:r>
        <w:t>контроль за</w:t>
      </w:r>
      <w:proofErr w:type="gramEnd"/>
      <w:r>
        <w:t xml:space="preserve"> качеством воды проводится с привлечением лабораторий, аккредитованных в системе государственного санитарно-эпидемиологического надзора и имеющих лицензию на проведение микробиологических исследований.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5.3.2.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включает исследования по определению следующих показателей:</w:t>
      </w:r>
    </w:p>
    <w:p w:rsidR="000E1D72" w:rsidRDefault="000E1D72">
      <w:pPr>
        <w:pStyle w:val="ConsPlusNormal"/>
        <w:spacing w:before="220"/>
        <w:ind w:firstLine="540"/>
        <w:jc w:val="both"/>
      </w:pPr>
      <w:proofErr w:type="gramStart"/>
      <w:r>
        <w:t>а) органолептические (мутность, цветность, запах) - 1 раз в сутки в дневное или вечернее время;</w:t>
      </w:r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r>
        <w:t>б) остаточное содержание обеззараживающих реагентов (хлор, бром, озон), а также температура воды и воздуха - перед началом работы бассейна и далее каждые 4 часа;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в) основные микробиологические показатели (общие </w:t>
      </w:r>
      <w:proofErr w:type="spellStart"/>
      <w:r>
        <w:t>колиформные</w:t>
      </w:r>
      <w:proofErr w:type="spellEnd"/>
      <w:r>
        <w:t xml:space="preserve"> бактерии, </w:t>
      </w:r>
      <w:proofErr w:type="spellStart"/>
      <w:r>
        <w:t>термотолерантные</w:t>
      </w:r>
      <w:proofErr w:type="spellEnd"/>
      <w:r>
        <w:t xml:space="preserve"> </w:t>
      </w:r>
      <w:proofErr w:type="spellStart"/>
      <w:r>
        <w:t>колиформные</w:t>
      </w:r>
      <w:proofErr w:type="spellEnd"/>
      <w:r>
        <w:t xml:space="preserve"> бактерии, </w:t>
      </w:r>
      <w:proofErr w:type="spellStart"/>
      <w:r>
        <w:t>колифаги</w:t>
      </w:r>
      <w:proofErr w:type="spellEnd"/>
      <w:r>
        <w:t xml:space="preserve"> и золотистый стафилококк) - 2 раза в месяц;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паразитологические</w:t>
      </w:r>
      <w:proofErr w:type="spellEnd"/>
      <w:r>
        <w:t xml:space="preserve"> - 1 раз в квартал;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д) содержание хлороформа (при хлорировании) или формальдегида (при озонировании) - 1 раз в месяц.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Отбор проб воды на анализ производится не менее чем в 2-х точках: поверхностный слой толщиной 0,5 - 1,0 см и на глубине 25 - 30 см от поверхности зеркала воды.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14" w:name="P206"/>
      <w:bookmarkEnd w:id="14"/>
      <w:r>
        <w:t>5.3.3. Лабораторный контроль воды по этапам водоподготовки проводится с отбором проб воды: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поступающей (водопроводной) - в бассейнах </w:t>
      </w:r>
      <w:proofErr w:type="spellStart"/>
      <w:r>
        <w:t>рециркуляционного</w:t>
      </w:r>
      <w:proofErr w:type="spellEnd"/>
      <w:r>
        <w:t xml:space="preserve"> и </w:t>
      </w:r>
      <w:proofErr w:type="gramStart"/>
      <w:r>
        <w:t>проточного</w:t>
      </w:r>
      <w:proofErr w:type="gramEnd"/>
      <w:r>
        <w:t xml:space="preserve"> типов, а также с периодической сменой воды;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до и после фильтров - в бассейнах </w:t>
      </w:r>
      <w:proofErr w:type="spellStart"/>
      <w:r>
        <w:t>рециркуляционного</w:t>
      </w:r>
      <w:proofErr w:type="spellEnd"/>
      <w:r>
        <w:t xml:space="preserve"> типа и с морской водой;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после обеззараживания перед подачей воды в ванну.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5.3.4. Лабораторный </w:t>
      </w:r>
      <w:proofErr w:type="gramStart"/>
      <w:r>
        <w:t>контроль за</w:t>
      </w:r>
      <w:proofErr w:type="gramEnd"/>
      <w:r>
        <w:t xml:space="preserve"> параметрами микроклимата и освещенности проводится в соответствии с требованиями </w:t>
      </w:r>
      <w:hyperlink w:anchor="P295" w:history="1">
        <w:r>
          <w:rPr>
            <w:color w:val="0000FF"/>
          </w:rPr>
          <w:t>таблицы N 2</w:t>
        </w:r>
      </w:hyperlink>
      <w:r>
        <w:t xml:space="preserve"> и </w:t>
      </w:r>
      <w:hyperlink w:anchor="P148" w:history="1">
        <w:r>
          <w:rPr>
            <w:color w:val="0000FF"/>
          </w:rPr>
          <w:t>п. 3.11.4</w:t>
        </w:r>
      </w:hyperlink>
      <w:r>
        <w:t xml:space="preserve"> настоящих санитарных правил и включает проведение исследований со следующей кратностью: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параметры микроклимата (кроме температуры воздуха в залах ванн) - 2 раза в год;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освещенность - 1 раз в год.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5.3.5. При наличии жалоб от посетителей на микроклиматические условия проводятся исследования воздушной среды в зоне дыхания пловцов на содержание свободного хлора и озона, а также замеры в залах уровней техногенного шума от эксплуатируемого оборудования на соответствие гигиеническим нормативам </w:t>
      </w:r>
      <w:hyperlink w:anchor="P147" w:history="1">
        <w:r>
          <w:rPr>
            <w:color w:val="0000FF"/>
          </w:rPr>
          <w:t>(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3.11.3</w:t>
        </w:r>
      </w:hyperlink>
      <w:r>
        <w:t xml:space="preserve"> и </w:t>
      </w:r>
      <w:hyperlink w:anchor="P149" w:history="1">
        <w:r>
          <w:rPr>
            <w:color w:val="0000FF"/>
          </w:rPr>
          <w:t>3.11.5).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5.3.6. Для оценки эффективности текущей уборки и дезинфекции помещений и инвентаря необходимо не менее 1 раза в квартал проведение бактериологического и </w:t>
      </w:r>
      <w:proofErr w:type="spellStart"/>
      <w:r>
        <w:t>паразитологического</w:t>
      </w:r>
      <w:proofErr w:type="spellEnd"/>
      <w:r>
        <w:t xml:space="preserve"> анализов смывов на присутствие общих </w:t>
      </w:r>
      <w:proofErr w:type="spellStart"/>
      <w:r>
        <w:t>колиформных</w:t>
      </w:r>
      <w:proofErr w:type="spellEnd"/>
      <w:r>
        <w:t xml:space="preserve"> бактерий и обсемененность яйцами гельминтов.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Смывы берутся с поручней ванны бассейна, скамеек в раздевальнях, пола в душевой, ручек двери из раздевальни в душевую, детских игрушек (мячей, кругов и т.д.), предметов спортивного инвентаря.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>При получении неудовлетворительных результатов исследований необходимо проведение генеральной уборки и дезинфекции помещений и инвентаря с последующим повторным взятием смывов на анализ.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5.3.7. Эффективность работы приточно-вытяжной вентиляции подлежит систематическому контролю специализированной организацией (не реже 1 раза в год).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15" w:name="P218"/>
      <w:bookmarkEnd w:id="15"/>
      <w:r>
        <w:t xml:space="preserve">5.3.8. Результаты производственного лабораторного контроля, осуществляемого в процессе эксплуатации плавательных бассейнов, направляются 1 раз в месяц в территориальные центры госсанэпиднадзора. В случаях несоответствия качества воды требованиям, указанным в </w:t>
      </w:r>
      <w:hyperlink w:anchor="P344" w:history="1">
        <w:r>
          <w:rPr>
            <w:color w:val="0000FF"/>
          </w:rPr>
          <w:t>таблице N 3</w:t>
        </w:r>
      </w:hyperlink>
      <w:r>
        <w:t xml:space="preserve"> настоящих санитарных правил, информация должна передаваться немедленно.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5.3.9. Администрация бассейна должна иметь журнал, где фиксируются результаты обследования бассейна госсанэпидслужбой (акты) с выводами и предложениями по устранению выявленных недостатков, а также журнал регистрации результатов производственного лабораторного контроля (при этом в бассейнах </w:t>
      </w:r>
      <w:proofErr w:type="spellStart"/>
      <w:r>
        <w:t>рециркуляционного</w:t>
      </w:r>
      <w:proofErr w:type="spellEnd"/>
      <w:r>
        <w:t xml:space="preserve"> типа, а также с морской водой должна быть указана дата промывки фильтров).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5.4. При подготовке программы производственного контроля следует считать, что потенциально опасным фактором, который может оказывать наиболее неблагоприятное влияние на здоровье посетителей бассейна, является качество воды в ванне (критическая контрольная точка).</w:t>
      </w:r>
    </w:p>
    <w:p w:rsidR="000E1D72" w:rsidRDefault="000E1D72">
      <w:pPr>
        <w:pStyle w:val="ConsPlusNormal"/>
        <w:spacing w:before="220"/>
        <w:ind w:firstLine="540"/>
        <w:jc w:val="both"/>
      </w:pPr>
      <w:bookmarkStart w:id="16" w:name="P221"/>
      <w:bookmarkEnd w:id="16"/>
      <w:r>
        <w:t xml:space="preserve">5.4.1. </w:t>
      </w:r>
      <w:proofErr w:type="gramStart"/>
      <w:r>
        <w:t xml:space="preserve">При получении результатов исследований по основным микробиологическим и (или) </w:t>
      </w:r>
      <w:proofErr w:type="spellStart"/>
      <w:r>
        <w:t>паразитологическим</w:t>
      </w:r>
      <w:proofErr w:type="spellEnd"/>
      <w:r>
        <w:t xml:space="preserve"> показателям, свидетельствующим о неудовлетворительном качестве воды в ванне, администрацией бассейна проводятся мероприятия, включающие промывку фильтров, увеличение объема подаваемой свежей воды, повышение дозы обеззараживающего агента, генеральную уборку помещений и др. с последующим отбором проб воды на исследования не только по основным, но и дополнительным микробиологическим, а также </w:t>
      </w:r>
      <w:proofErr w:type="spellStart"/>
      <w:r>
        <w:t>паразитологическим</w:t>
      </w:r>
      <w:proofErr w:type="spellEnd"/>
      <w:r>
        <w:t xml:space="preserve"> показателям.</w:t>
      </w:r>
      <w:proofErr w:type="gramEnd"/>
      <w:r>
        <w:t xml:space="preserve"> При обнаружении </w:t>
      </w:r>
      <w:proofErr w:type="spellStart"/>
      <w:r>
        <w:t>колифагов</w:t>
      </w:r>
      <w:proofErr w:type="spellEnd"/>
      <w:r>
        <w:t xml:space="preserve"> вода исследуется и на присутствие вирусов.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5.4.2. При получении неудовлетворительных результатов исследований проб воды, отобранных из ванны бассейна после осуществления мероприятий, указанных в </w:t>
      </w:r>
      <w:hyperlink w:anchor="P221" w:history="1">
        <w:r>
          <w:rPr>
            <w:color w:val="0000FF"/>
          </w:rPr>
          <w:t>п. 5.4.1,</w:t>
        </w:r>
      </w:hyperlink>
      <w:r>
        <w:t xml:space="preserve"> решение вопроса о необходимости полной смены воды в бассейне требует дифференцированного подхода в зависимости от вида и системы </w:t>
      </w:r>
      <w:proofErr w:type="spellStart"/>
      <w:r>
        <w:t>водообмена</w:t>
      </w:r>
      <w:proofErr w:type="spellEnd"/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5.4.3. При неудовлетворительных результатах исследований проб воды, отобранных из ванны бассейна с </w:t>
      </w:r>
      <w:proofErr w:type="spellStart"/>
      <w:r>
        <w:t>рециркуляционной</w:t>
      </w:r>
      <w:proofErr w:type="spellEnd"/>
      <w:r>
        <w:t xml:space="preserve"> системой </w:t>
      </w:r>
      <w:proofErr w:type="spellStart"/>
      <w:r>
        <w:t>водообмена</w:t>
      </w:r>
      <w:proofErr w:type="spellEnd"/>
      <w:r>
        <w:t xml:space="preserve">, по основным микробиологическим и (или) </w:t>
      </w:r>
      <w:proofErr w:type="spellStart"/>
      <w:r>
        <w:t>паразитологическим</w:t>
      </w:r>
      <w:proofErr w:type="spellEnd"/>
      <w:r>
        <w:t xml:space="preserve"> показателям администрации бассейна предоставляется возможность принять максимальные меры по улучшению качества воды, включающие: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увеличение объема добавляемой свежей воды;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использование альтернативных методов обеззараживания воды;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снижение нагрузки (т.е. сокращение количества посетителей);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введение перерывов между сменами (или увеличение продолжительности при их наличии) для проведения качественной уборки;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проведение дезинфекционных мероприятий всех помещений и оборудования;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усиление </w:t>
      </w:r>
      <w:proofErr w:type="gramStart"/>
      <w:r>
        <w:t>контроля за</w:t>
      </w:r>
      <w:proofErr w:type="gramEnd"/>
      <w:r>
        <w:t xml:space="preserve"> мытьем (принятием душа) посетителей, а также представлением справок с повторным обследованием при обнаружении в пробах воды возбудителей паразитарных заболеваний и др.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 xml:space="preserve">Для оценки эффективности указанных мер и принятия окончательного решения контрольные пробы воды исследуются не только по основным, но и дополнительным микробиологическим, а также </w:t>
      </w:r>
      <w:proofErr w:type="spellStart"/>
      <w:r>
        <w:t>паразитологическим</w:t>
      </w:r>
      <w:proofErr w:type="spellEnd"/>
      <w:r>
        <w:t xml:space="preserve"> показателям.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Если проведенные мероприятия как предложенные администрацией бассейна, так и рекомендованные санитарно-эпидемиологической службой, не привели к нормализации качества воды, должна проводиться полная смена воды в ванне бассейна.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5.4.4. Получение неудовлетворительных результатов исследований воды по основным микробиологическим и (или) </w:t>
      </w:r>
      <w:proofErr w:type="spellStart"/>
      <w:r>
        <w:t>паразитологическим</w:t>
      </w:r>
      <w:proofErr w:type="spellEnd"/>
      <w:r>
        <w:t xml:space="preserve"> показателям является основанием для полной смены воды в ванне бассейнов с проточной системой </w:t>
      </w:r>
      <w:proofErr w:type="spellStart"/>
      <w:r>
        <w:t>водообмена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>. малых бассейнов с площадью зеркала воды не более 100 м</w:t>
      </w:r>
      <w:proofErr w:type="gramStart"/>
      <w:r>
        <w:rPr>
          <w:vertAlign w:val="superscript"/>
        </w:rPr>
        <w:t>2</w:t>
      </w:r>
      <w:proofErr w:type="gramEnd"/>
      <w:r>
        <w:t>, а также бассейнов с морской водой.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5.4.5. Обнаружение в пробах воды возбудителей кишечных инфекционных, и (или) паразитарных заболеваний, и (или) синегнойной палочки является основанием для полной смены воды в ванне вне зависимости от вида бассейна и системы </w:t>
      </w:r>
      <w:proofErr w:type="spellStart"/>
      <w:r>
        <w:t>водообмена</w:t>
      </w:r>
      <w:proofErr w:type="spellEnd"/>
      <w:r>
        <w:t>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5.4.6. Полная смена воды в ванне бассейна должна сопровождаться механической чисткой ванны, удалением донного осадка и дезинфекцией (см. </w:t>
      </w:r>
      <w:hyperlink w:anchor="P136" w:history="1">
        <w:r>
          <w:rPr>
            <w:color w:val="0000FF"/>
          </w:rPr>
          <w:t>п. 3.9.3)</w:t>
        </w:r>
      </w:hyperlink>
      <w:r>
        <w:t xml:space="preserve"> с последующим отбором проб воды на анализ.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5.4.7. </w:t>
      </w:r>
      <w:proofErr w:type="gramStart"/>
      <w:r>
        <w:t xml:space="preserve">В случаях обнаружения возбудителей паразитарных заболеваний в воде ванны бассейна и при анализе смывов с поверхностей необходимо проведение исследований на присутствие патогенных бактерий, яиц гельминтов и цист кишечных простейших у обслуживающего персонала и посетителей, а также усиление контроля за наличием справок у детей школьного и дошкольного возраста (п. </w:t>
      </w:r>
      <w:hyperlink w:anchor="P153" w:history="1">
        <w:r>
          <w:rPr>
            <w:color w:val="0000FF"/>
          </w:rPr>
          <w:t>3.12.2).</w:t>
        </w:r>
      </w:hyperlink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5.4.8. </w:t>
      </w:r>
      <w:proofErr w:type="gramStart"/>
      <w:r>
        <w:t>Администрация бассейна обязана информировать территориальный центр госсанэпиднадзора о мерах, принятых по устранению выявленных нарушений настоящих санитарных правил, в том числе о временном прекращении эксплуатации бассейна и полной смене воды в ванне, при этом возобновление эксплуатации бассейна должно осуществляться только при наличии положительного санитарно-эпидемиологического заключения, выданного центром госсанэпиднадзора после получения результатов лабораторных исследований, подтверждающих их соответствие требованиям настоящих санитарных правил.</w:t>
      </w:r>
      <w:proofErr w:type="gramEnd"/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 xml:space="preserve">Государственный санитарно-эпидемиологический надзор за устройством, эксплуатацией и качеством воды плавательных бассейнов, а также за организацией и проведением производственного контроля осуществляется центрами госсанэпиднадзора в соответствии с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17.07.2002 N 228 "О порядке проведения мероприятий по контролю при осуществлении государственного санитарно-эпидемиологического надзора" (зарегистрирован в Министерстве юстиции Российской Федерации 3 октября 2002 г., регистрационный N 3831) &lt;1&gt; и</w:t>
      </w:r>
      <w:proofErr w:type="gramEnd"/>
      <w:r>
        <w:t xml:space="preserve"> приложением </w:t>
      </w:r>
      <w:hyperlink w:anchor="P433" w:history="1">
        <w:r>
          <w:rPr>
            <w:color w:val="0000FF"/>
          </w:rPr>
          <w:t>N 1.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&lt;1&gt; Бюллетень нормативных актов федеральных органов исполнительной власти, 2002, N 43. - Прим. ред.</w:t>
      </w:r>
    </w:p>
    <w:p w:rsidR="000E1D72" w:rsidRDefault="000E1D72">
      <w:pPr>
        <w:pStyle w:val="ConsPlusNormal"/>
        <w:jc w:val="both"/>
      </w:pPr>
    </w:p>
    <w:p w:rsidR="000E1D72" w:rsidRDefault="000E1D72">
      <w:pPr>
        <w:sectPr w:rsidR="000E1D72" w:rsidSect="000864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1D72" w:rsidRDefault="000E1D72">
      <w:pPr>
        <w:pStyle w:val="ConsPlusNormal"/>
        <w:jc w:val="center"/>
        <w:outlineLvl w:val="2"/>
      </w:pPr>
      <w:bookmarkStart w:id="17" w:name="P241"/>
      <w:bookmarkEnd w:id="17"/>
      <w:r>
        <w:lastRenderedPageBreak/>
        <w:t>Таблица N 1. Виды бассейнов и санитарно-гигиенические</w:t>
      </w:r>
    </w:p>
    <w:p w:rsidR="000E1D72" w:rsidRDefault="000E1D72">
      <w:pPr>
        <w:pStyle w:val="ConsPlusNormal"/>
        <w:jc w:val="center"/>
      </w:pPr>
      <w:r>
        <w:t>требования к их устройству</w:t>
      </w:r>
    </w:p>
    <w:p w:rsidR="000E1D72" w:rsidRDefault="000E1D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64"/>
        <w:gridCol w:w="1865"/>
        <w:gridCol w:w="1864"/>
        <w:gridCol w:w="1865"/>
      </w:tblGrid>
      <w:tr w:rsidR="000E1D7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Виды бассейнов (назначение)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Площадь зеркала воды,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Температура воды, °C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Площадь зеркала воды на 1 человека 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 не менее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 xml:space="preserve">Время полного </w:t>
            </w:r>
            <w:proofErr w:type="gramStart"/>
            <w:r>
              <w:t xml:space="preserve">во </w:t>
            </w:r>
            <w:proofErr w:type="spellStart"/>
            <w:r>
              <w:t>дообмена</w:t>
            </w:r>
            <w:proofErr w:type="spellEnd"/>
            <w:proofErr w:type="gramEnd"/>
            <w:r>
              <w:t>, час, не более</w:t>
            </w: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both"/>
            </w:pPr>
            <w:r>
              <w:t>Спортивные</w:t>
            </w: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1000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24 - 28</w:t>
            </w: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8,0</w:t>
            </w: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более 1000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both"/>
            </w:pPr>
            <w:r>
              <w:t>Оздоровительные</w:t>
            </w: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26 - 29</w:t>
            </w: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6,0</w:t>
            </w: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более 400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both"/>
            </w:pPr>
            <w:r>
              <w:t>Детские учебные:</w:t>
            </w: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bottom w:val="nil"/>
            </w:tcBorders>
          </w:tcPr>
          <w:p w:rsidR="000E1D72" w:rsidRDefault="000E1D72">
            <w:pPr>
              <w:pStyle w:val="ConsPlusNormal"/>
              <w:jc w:val="both"/>
            </w:pPr>
            <w:r>
              <w:t>- дети до 7 лет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60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30 - 32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65" w:type="dxa"/>
            <w:tcBorders>
              <w:top w:val="nil"/>
              <w:bottom w:val="nil"/>
            </w:tcBorders>
          </w:tcPr>
          <w:p w:rsidR="000E1D72" w:rsidRDefault="000E1D72">
            <w:pPr>
              <w:pStyle w:val="ConsPlusNormal"/>
              <w:jc w:val="center"/>
            </w:pPr>
            <w:r>
              <w:t>0,5</w:t>
            </w:r>
          </w:p>
        </w:tc>
      </w:tr>
      <w:tr w:rsidR="000E1D72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  <w:r>
              <w:t>- дети старше 7 лет</w:t>
            </w: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29 - 30</w:t>
            </w:r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2,0</w:t>
            </w:r>
          </w:p>
        </w:tc>
      </w:tr>
      <w:tr w:rsidR="000E1D7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both"/>
            </w:pPr>
            <w:r>
              <w:t>Охлаждающие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до 12 °C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0E1D72" w:rsidRDefault="000E1D72">
            <w:pPr>
              <w:pStyle w:val="ConsPlusNormal"/>
              <w:jc w:val="center"/>
            </w:pPr>
            <w:r>
              <w:t>-</w:t>
            </w:r>
          </w:p>
        </w:tc>
      </w:tr>
    </w:tbl>
    <w:p w:rsidR="000E1D72" w:rsidRDefault="000E1D72">
      <w:pPr>
        <w:pStyle w:val="ConsPlusNormal"/>
        <w:jc w:val="center"/>
      </w:pPr>
    </w:p>
    <w:p w:rsidR="000E1D72" w:rsidRDefault="000E1D72">
      <w:pPr>
        <w:pStyle w:val="ConsPlusNormal"/>
        <w:ind w:firstLine="540"/>
        <w:jc w:val="both"/>
      </w:pPr>
      <w:r>
        <w:t>Примечания: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1. Глубина бассейнов для детей до 7 лет должна быть не более 0,6 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 Указанное время полного </w:t>
      </w:r>
      <w:proofErr w:type="spellStart"/>
      <w:r>
        <w:t>водообмена</w:t>
      </w:r>
      <w:proofErr w:type="spellEnd"/>
      <w:r>
        <w:t xml:space="preserve"> не относится к бассейнам проточного типа с пресной водой.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 Температура воды в открытых бассейнах должна поддерживаться летом на уровне 27 °C, зимой - 28 °C.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2"/>
      </w:pPr>
      <w:bookmarkStart w:id="18" w:name="P295"/>
      <w:bookmarkEnd w:id="18"/>
      <w:r>
        <w:t>Таблица N 2. Гигиенические требования</w:t>
      </w:r>
    </w:p>
    <w:p w:rsidR="000E1D72" w:rsidRDefault="000E1D72">
      <w:pPr>
        <w:pStyle w:val="ConsPlusNormal"/>
        <w:jc w:val="center"/>
      </w:pPr>
      <w:r>
        <w:t>к параметрам микроклимата основных помещений закрытых</w:t>
      </w:r>
    </w:p>
    <w:p w:rsidR="000E1D72" w:rsidRDefault="000E1D72">
      <w:pPr>
        <w:pStyle w:val="ConsPlusNormal"/>
        <w:jc w:val="center"/>
      </w:pPr>
      <w:r>
        <w:t>плавательных бассейнов</w:t>
      </w:r>
    </w:p>
    <w:p w:rsidR="000E1D72" w:rsidRDefault="000E1D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644"/>
        <w:gridCol w:w="1587"/>
        <w:gridCol w:w="1417"/>
        <w:gridCol w:w="1417"/>
        <w:gridCol w:w="1960"/>
      </w:tblGrid>
      <w:tr w:rsidR="000E1D72">
        <w:tc>
          <w:tcPr>
            <w:tcW w:w="1757" w:type="dxa"/>
          </w:tcPr>
          <w:p w:rsidR="000E1D72" w:rsidRDefault="000E1D72">
            <w:pPr>
              <w:pStyle w:val="ConsPlusNormal"/>
              <w:jc w:val="center"/>
            </w:pPr>
            <w:r>
              <w:lastRenderedPageBreak/>
              <w:t>Назначение помещения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Температура воздуха, °C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Относительная влажность, %</w:t>
            </w:r>
          </w:p>
        </w:tc>
        <w:tc>
          <w:tcPr>
            <w:tcW w:w="2834" w:type="dxa"/>
            <w:gridSpan w:val="2"/>
          </w:tcPr>
          <w:p w:rsidR="000E1D72" w:rsidRDefault="000E1D72">
            <w:pPr>
              <w:pStyle w:val="ConsPlusNormal"/>
              <w:jc w:val="center"/>
            </w:pPr>
            <w:r>
              <w:t>Параметры воздухообмена в 1 час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 xml:space="preserve">Скорость движения воздуха, </w:t>
            </w:r>
            <w:proofErr w:type="gramStart"/>
            <w:r>
              <w:t>м</w:t>
            </w:r>
            <w:proofErr w:type="gramEnd"/>
            <w:r>
              <w:t>/сек.</w:t>
            </w:r>
          </w:p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Залы ванн бассейнов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На 1 - 2° выше температуры воды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до 65</w:t>
            </w:r>
          </w:p>
        </w:tc>
        <w:tc>
          <w:tcPr>
            <w:tcW w:w="2834" w:type="dxa"/>
            <w:gridSpan w:val="2"/>
          </w:tcPr>
          <w:p w:rsidR="000E1D72" w:rsidRDefault="000E1D72">
            <w:pPr>
              <w:pStyle w:val="ConsPlusNormal"/>
              <w:jc w:val="center"/>
            </w:pPr>
            <w:r>
              <w:t>Не менее 80 м</w:t>
            </w:r>
            <w:r>
              <w:rPr>
                <w:vertAlign w:val="superscript"/>
              </w:rPr>
              <w:t>3</w:t>
            </w:r>
            <w:r>
              <w:t>/час на 1 занимающегося и не менее 20 м</w:t>
            </w:r>
            <w:r>
              <w:rPr>
                <w:vertAlign w:val="superscript"/>
              </w:rPr>
              <w:t>3</w:t>
            </w:r>
            <w:r>
              <w:t>/час на 1 зрителя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Не более 0,2</w:t>
            </w:r>
          </w:p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Залы подготовки занятий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до 60</w:t>
            </w:r>
          </w:p>
        </w:tc>
        <w:tc>
          <w:tcPr>
            <w:tcW w:w="2834" w:type="dxa"/>
            <w:gridSpan w:val="2"/>
          </w:tcPr>
          <w:p w:rsidR="000E1D72" w:rsidRDefault="000E1D72">
            <w:pPr>
              <w:pStyle w:val="ConsPlusNormal"/>
              <w:jc w:val="center"/>
            </w:pPr>
            <w:r>
              <w:t>Не менее 80 м</w:t>
            </w:r>
            <w:r>
              <w:rPr>
                <w:vertAlign w:val="superscript"/>
              </w:rPr>
              <w:t>3</w:t>
            </w:r>
            <w:r>
              <w:t xml:space="preserve">/час на 1 </w:t>
            </w:r>
            <w:proofErr w:type="gramStart"/>
            <w:r>
              <w:t>занимающегося</w:t>
            </w:r>
            <w:proofErr w:type="gramEnd"/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Не более 0,5</w:t>
            </w:r>
          </w:p>
        </w:tc>
      </w:tr>
      <w:tr w:rsidR="000E1D72">
        <w:tc>
          <w:tcPr>
            <w:tcW w:w="4988" w:type="dxa"/>
            <w:gridSpan w:val="3"/>
            <w:vMerge w:val="restart"/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2834" w:type="dxa"/>
            <w:gridSpan w:val="2"/>
          </w:tcPr>
          <w:p w:rsidR="000E1D72" w:rsidRDefault="000E1D72">
            <w:pPr>
              <w:pStyle w:val="ConsPlusNormal"/>
              <w:jc w:val="center"/>
            </w:pPr>
            <w:r>
              <w:t>Кратность воздухообмена в 1 час</w:t>
            </w:r>
          </w:p>
        </w:tc>
        <w:tc>
          <w:tcPr>
            <w:tcW w:w="1960" w:type="dxa"/>
            <w:vMerge w:val="restart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988" w:type="dxa"/>
            <w:gridSpan w:val="3"/>
            <w:vMerge/>
          </w:tcPr>
          <w:p w:rsidR="000E1D72" w:rsidRDefault="000E1D72"/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вытяжка</w:t>
            </w:r>
          </w:p>
        </w:tc>
        <w:tc>
          <w:tcPr>
            <w:tcW w:w="1960" w:type="dxa"/>
            <w:vMerge/>
          </w:tcPr>
          <w:p w:rsidR="000E1D72" w:rsidRDefault="000E1D72"/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Раздевальни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По балансу с учетом душевых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2 (из душевых)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Не нормируется</w:t>
            </w:r>
          </w:p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Душевые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Массажные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</w:tr>
      <w:tr w:rsidR="000E1D72">
        <w:tc>
          <w:tcPr>
            <w:tcW w:w="1757" w:type="dxa"/>
          </w:tcPr>
          <w:p w:rsidR="000E1D72" w:rsidRDefault="000E1D72">
            <w:pPr>
              <w:pStyle w:val="ConsPlusNormal"/>
            </w:pPr>
            <w:r>
              <w:t>Камера сауны</w:t>
            </w:r>
          </w:p>
        </w:tc>
        <w:tc>
          <w:tcPr>
            <w:tcW w:w="1644" w:type="dxa"/>
          </w:tcPr>
          <w:p w:rsidR="000E1D72" w:rsidRDefault="000E1D72">
            <w:pPr>
              <w:pStyle w:val="ConsPlusNormal"/>
              <w:jc w:val="center"/>
            </w:pPr>
            <w:r>
              <w:t>не более 120</w:t>
            </w:r>
          </w:p>
        </w:tc>
        <w:tc>
          <w:tcPr>
            <w:tcW w:w="1587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1D72" w:rsidRDefault="000E1D72">
            <w:pPr>
              <w:pStyle w:val="ConsPlusNormal"/>
              <w:jc w:val="center"/>
            </w:pPr>
            <w:r>
              <w:t>5 (периодического действия при отсутствии людей)</w:t>
            </w:r>
          </w:p>
        </w:tc>
        <w:tc>
          <w:tcPr>
            <w:tcW w:w="1960" w:type="dxa"/>
          </w:tcPr>
          <w:p w:rsidR="000E1D72" w:rsidRDefault="000E1D72">
            <w:pPr>
              <w:pStyle w:val="ConsPlusNormal"/>
              <w:jc w:val="center"/>
            </w:pPr>
            <w:r>
              <w:t>-"-</w:t>
            </w:r>
          </w:p>
        </w:tc>
      </w:tr>
    </w:tbl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  <w:outlineLvl w:val="2"/>
      </w:pPr>
      <w:bookmarkStart w:id="19" w:name="P344"/>
      <w:bookmarkEnd w:id="19"/>
      <w:r>
        <w:t>Таблица N 3. Показатели и нормативы качества воды в ванне</w:t>
      </w:r>
    </w:p>
    <w:p w:rsidR="000E1D72" w:rsidRDefault="000E1D72">
      <w:pPr>
        <w:pStyle w:val="ConsPlusNormal"/>
        <w:jc w:val="center"/>
      </w:pPr>
      <w:r>
        <w:t>бассейна (в процессе эксплуатации)</w:t>
      </w:r>
    </w:p>
    <w:p w:rsidR="000E1D72" w:rsidRDefault="000E1D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448"/>
        <w:gridCol w:w="2880"/>
      </w:tblGrid>
      <w:tr w:rsidR="000E1D72">
        <w:tc>
          <w:tcPr>
            <w:tcW w:w="454" w:type="dxa"/>
          </w:tcPr>
          <w:p w:rsidR="000E1D72" w:rsidRDefault="000E1D72">
            <w:pPr>
              <w:pStyle w:val="ConsPlusNormal"/>
              <w:jc w:val="center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Нормативы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  <w:r>
              <w:t>1</w:t>
            </w: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Физико-химические показатели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Мутность,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2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Цветность, градусы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20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Запах, баллы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3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Хлориды (при обеззараживании воды гипохлоритом натрия, получаемым электролизом поваренной соли),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700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Остаточный свободный хлор (при хлорировании),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менее 0,3 - не более 0,5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 xml:space="preserve">Остаточный бром (при </w:t>
            </w:r>
            <w:proofErr w:type="spellStart"/>
            <w:r>
              <w:t>бромировании</w:t>
            </w:r>
            <w:proofErr w:type="spellEnd"/>
            <w:r>
              <w:t>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0,8 - 1,5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Остаточный озон (при озонировании),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0,1</w:t>
            </w:r>
          </w:p>
          <w:p w:rsidR="000E1D72" w:rsidRDefault="000E1D72">
            <w:pPr>
              <w:pStyle w:val="ConsPlusNormal"/>
              <w:jc w:val="center"/>
            </w:pPr>
            <w:r>
              <w:t>(перед поступлением в ванну бассейна)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Хлороформ (при хлорировании),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0,1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Формальдегид (при озонировании), мг/л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0,05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  <w:r>
              <w:t>2</w:t>
            </w: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Микробиологические показатели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  <w:r>
              <w:t>2.1</w:t>
            </w: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Основные: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 xml:space="preserve">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 в 100 мл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не более 1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в 100 мл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proofErr w:type="spellStart"/>
            <w:r>
              <w:t>Колифаги</w:t>
            </w:r>
            <w:proofErr w:type="spellEnd"/>
            <w:r>
              <w:t xml:space="preserve"> в 100 мл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Золотистый стафилококк (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>) в 100 мл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Дополнительные: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Возбудители кишечных инфекций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Синегнойная палочка (</w:t>
            </w:r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>) в 100 мл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  <w:r>
              <w:t>3</w:t>
            </w: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proofErr w:type="spellStart"/>
            <w:r>
              <w:t>Паразитологические</w:t>
            </w:r>
            <w:proofErr w:type="spellEnd"/>
            <w:r>
              <w:t xml:space="preserve"> показатели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Pr="000E1D72" w:rsidRDefault="000E1D72">
            <w:pPr>
              <w:pStyle w:val="ConsPlusNormal"/>
              <w:jc w:val="both"/>
              <w:rPr>
                <w:lang w:val="en-US"/>
              </w:rPr>
            </w:pPr>
            <w:r>
              <w:t>Цисты</w:t>
            </w:r>
            <w:r w:rsidRPr="000E1D72">
              <w:rPr>
                <w:lang w:val="en-US"/>
              </w:rPr>
              <w:t xml:space="preserve"> </w:t>
            </w:r>
            <w:r>
              <w:t>лямблий</w:t>
            </w:r>
            <w:r w:rsidRPr="000E1D72">
              <w:rPr>
                <w:lang w:val="en-US"/>
              </w:rPr>
              <w:t xml:space="preserve"> (Giardia intestinalis) </w:t>
            </w:r>
            <w:r>
              <w:t>в</w:t>
            </w:r>
            <w:r w:rsidRPr="000E1D72">
              <w:rPr>
                <w:lang w:val="en-US"/>
              </w:rPr>
              <w:t xml:space="preserve"> 50 </w:t>
            </w:r>
            <w:r>
              <w:t>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0E1D72">
        <w:tc>
          <w:tcPr>
            <w:tcW w:w="454" w:type="dxa"/>
          </w:tcPr>
          <w:p w:rsidR="000E1D72" w:rsidRDefault="000E1D72">
            <w:pPr>
              <w:pStyle w:val="ConsPlusNormal"/>
            </w:pPr>
          </w:p>
        </w:tc>
        <w:tc>
          <w:tcPr>
            <w:tcW w:w="6448" w:type="dxa"/>
          </w:tcPr>
          <w:p w:rsidR="000E1D72" w:rsidRDefault="000E1D72">
            <w:pPr>
              <w:pStyle w:val="ConsPlusNormal"/>
              <w:jc w:val="both"/>
            </w:pPr>
            <w:r>
              <w:t>Яйца и личинки гельминтов в 50 л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отсутствие</w:t>
            </w:r>
          </w:p>
        </w:tc>
      </w:tr>
    </w:tbl>
    <w:p w:rsidR="000E1D72" w:rsidRDefault="000E1D72">
      <w:pPr>
        <w:sectPr w:rsidR="000E1D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>Примечания: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1. В ванне бассейна для детей до 7 лет содержание свободного остаточного хлора допускается на уровне 0,1 - 0,3 мг/л при условии соблюдения нормативов по основным микробиологическим и </w:t>
      </w:r>
      <w:proofErr w:type="spellStart"/>
      <w:r>
        <w:t>паразитологическим</w:t>
      </w:r>
      <w:proofErr w:type="spellEnd"/>
      <w:r>
        <w:t xml:space="preserve"> показателям.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2. При совместном применении </w:t>
      </w:r>
      <w:proofErr w:type="gramStart"/>
      <w:r>
        <w:t>УФ-излучения</w:t>
      </w:r>
      <w:proofErr w:type="gramEnd"/>
      <w:r>
        <w:t xml:space="preserve"> и хлорирования или озонирования и хлорирования содержание свободного остаточного хлора должно находиться в пределах 0,1 - 0,3 мг/л.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3. В бассейнах с морской водой хлориды не нормируются.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4. Допускается повышение свободного остаточного хлора в особых случаях по </w:t>
      </w:r>
      <w:proofErr w:type="spellStart"/>
      <w:r>
        <w:t>эпидпоказаниям</w:t>
      </w:r>
      <w:proofErr w:type="spellEnd"/>
      <w:r>
        <w:t xml:space="preserve"> до 0,7 мг/л.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5. Методы определения показателей изложены в соответствующих государственных стандартах и методических указаниях Минздрава России. Для контроля физико-химических показателей допускается использование аналитических </w:t>
      </w:r>
      <w:proofErr w:type="gramStart"/>
      <w:r>
        <w:t>экспресс-методов</w:t>
      </w:r>
      <w:proofErr w:type="gramEnd"/>
      <w:r>
        <w:t xml:space="preserve"> с чувствительностью не ниже указанных нормативных величин.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6. При содержании в воде остаточного свободного хлора более 0,3 мг/л рекомендуется защита глаз посетителей бассейна очками для плавания.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right"/>
        <w:outlineLvl w:val="1"/>
      </w:pPr>
      <w:r>
        <w:t>Приложение N 1</w:t>
      </w:r>
    </w:p>
    <w:p w:rsidR="000E1D72" w:rsidRDefault="000E1D72">
      <w:pPr>
        <w:pStyle w:val="ConsPlusNormal"/>
        <w:jc w:val="right"/>
      </w:pPr>
      <w:r>
        <w:t>к СанПиН 2.1.2.1188-03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</w:pPr>
      <w:bookmarkStart w:id="20" w:name="P433"/>
      <w:bookmarkEnd w:id="20"/>
      <w:r>
        <w:t>ПРОГРАММНОЕ ОСУЩЕСТВЛЕНИЕ</w:t>
      </w:r>
    </w:p>
    <w:p w:rsidR="000E1D72" w:rsidRDefault="000E1D72">
      <w:pPr>
        <w:pStyle w:val="ConsPlusNormal"/>
        <w:jc w:val="center"/>
      </w:pPr>
      <w:r>
        <w:t>ГОСУДАРСТВЕННОГО САНИТАРНО-ЭПИДЕМИОЛОГИЧЕСКОГО НАДЗОРА</w:t>
      </w:r>
    </w:p>
    <w:p w:rsidR="000E1D72" w:rsidRDefault="000E1D72">
      <w:pPr>
        <w:pStyle w:val="ConsPlusNormal"/>
        <w:jc w:val="center"/>
      </w:pPr>
      <w:r>
        <w:t>ЗА ЭКСПЛУАТАЦИЕЙ ПЛАВАТЕЛЬНЫХ БАССЕЙНОВ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>1. Участие центра госсанэпиднадзора в подготовке программы (плана) производственного контроля включает: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направление юридическим лицам и индивидуальным предпринимателям информации о действующих санитарных правилах, гигиенических нормативах, методах и методиках контроля, а также перечня химических веществ, биологических и физических факторов, в отношении которых необходимы лабораторные исследования с указанием точек отбора проб и его периодичности;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согласование программы (плана) производственного контроля.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 Обследования бассейнов проводятся в плановом порядке и по санитарно-эпидемиологическим показаниям, а также при наличии жалоб посетителей в связи с нарушением санитарно-противоэпидемического режима эксплуатации бассейнов.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2.1. При обследовании бассейна проверяются: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выполнение мероприятий по устранению ранее выявленных недостатков, зафиксированных в акте, и ведение журнала регистрации результатов производственного лабораторного контроля;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соблюдение организации движения посетителей в соответствии с </w:t>
      </w:r>
      <w:hyperlink w:anchor="P67" w:history="1">
        <w:r>
          <w:rPr>
            <w:color w:val="0000FF"/>
          </w:rPr>
          <w:t>п. 2.5</w:t>
        </w:r>
      </w:hyperlink>
      <w:r>
        <w:t xml:space="preserve"> настоящих </w:t>
      </w:r>
      <w:r>
        <w:lastRenderedPageBreak/>
        <w:t>санитарных правил;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соответствие фактической численности посетителей санитарно-гигиеническим требованиям, указанным в </w:t>
      </w:r>
      <w:hyperlink w:anchor="P241" w:history="1">
        <w:r>
          <w:rPr>
            <w:color w:val="0000FF"/>
          </w:rPr>
          <w:t>таблице 1;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медицинские </w:t>
      </w:r>
      <w:hyperlink r:id="rId17" w:history="1">
        <w:r>
          <w:rPr>
            <w:color w:val="0000FF"/>
          </w:rPr>
          <w:t>книжки</w:t>
        </w:r>
      </w:hyperlink>
      <w:r>
        <w:t xml:space="preserve"> о прохождении предварительных при поступлении на работу и периодических медицинских осмотров;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наличие правил пользования бассейном для посетителей;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работа душевых сеток и ножных ванн, а также состояние трапов для отвода стоков в душевых, туалетах, на обходных дорожках;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полнота наполнения ванны бассейна водой;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наличие </w:t>
      </w:r>
      <w:proofErr w:type="gramStart"/>
      <w:r>
        <w:t>актов обследования эффективности работы системы вентиляции специализированной</w:t>
      </w:r>
      <w:proofErr w:type="gramEnd"/>
      <w:r>
        <w:t xml:space="preserve"> лабораторией;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наличие учета промывки фильтров при </w:t>
      </w:r>
      <w:proofErr w:type="spellStart"/>
      <w:r>
        <w:t>рециркуляционной</w:t>
      </w:r>
      <w:proofErr w:type="spellEnd"/>
      <w:r>
        <w:t xml:space="preserve"> системе и в бассейнах с морской водой.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В процессе обследования бассейна проводятся выборочный отбор проб воды и взятие смывов с поверхностей для исследований с учетом анализа результатов производственного лабораторного контроля, представленных центру госсанэпиднадзора </w:t>
      </w:r>
      <w:hyperlink w:anchor="P218" w:history="1">
        <w:r>
          <w:rPr>
            <w:color w:val="0000FF"/>
          </w:rPr>
          <w:t>(п. 5.3.8).</w:t>
        </w:r>
      </w:hyperlink>
    </w:p>
    <w:p w:rsidR="000E1D72" w:rsidRDefault="000E1D72">
      <w:pPr>
        <w:pStyle w:val="ConsPlusNormal"/>
        <w:spacing w:before="220"/>
        <w:ind w:firstLine="540"/>
        <w:jc w:val="both"/>
      </w:pPr>
      <w:r>
        <w:t>3. При неблагоприятной эпидемической ситуации проводятся исследования воды в ванне плавательных бассейнов на наличие возбудителей кишечных инфекций.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4. При появлении спорадических случаев пневмоний неясной этиологии или возникновении среди посетителей бассейна эпидемических внесезонных вспышек острых респираторных заболеваний проводятся исследования воды на наличие </w:t>
      </w:r>
      <w:proofErr w:type="spellStart"/>
      <w:r>
        <w:t>легионелл</w:t>
      </w:r>
      <w:proofErr w:type="spellEnd"/>
      <w:r>
        <w:t xml:space="preserve"> (</w:t>
      </w:r>
      <w:proofErr w:type="spellStart"/>
      <w:r>
        <w:t>Legionella</w:t>
      </w:r>
      <w:proofErr w:type="spellEnd"/>
      <w:r>
        <w:t xml:space="preserve"> </w:t>
      </w:r>
      <w:proofErr w:type="spellStart"/>
      <w:r>
        <w:t>pneumophilia</w:t>
      </w:r>
      <w:proofErr w:type="spellEnd"/>
      <w:r>
        <w:t xml:space="preserve">), размножению которых способствует теплая вода и брызги. При дыхании мелкодисперсная аэрозоль, содержащая </w:t>
      </w:r>
      <w:proofErr w:type="spellStart"/>
      <w:r>
        <w:t>легионеллы</w:t>
      </w:r>
      <w:proofErr w:type="spellEnd"/>
      <w:r>
        <w:t xml:space="preserve">, попадает в легкие, что может вызвать "болезнь легионеров" или </w:t>
      </w:r>
      <w:proofErr w:type="spellStart"/>
      <w:r>
        <w:t>понтиакскую</w:t>
      </w:r>
      <w:proofErr w:type="spellEnd"/>
      <w:r>
        <w:t xml:space="preserve"> лихорадку.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sectPr w:rsidR="000E1D72">
          <w:pgSz w:w="11905" w:h="16838"/>
          <w:pgMar w:top="1134" w:right="850" w:bottom="1134" w:left="1701" w:header="0" w:footer="0" w:gutter="0"/>
          <w:cols w:space="720"/>
        </w:sectPr>
      </w:pPr>
    </w:p>
    <w:p w:rsidR="000E1D72" w:rsidRDefault="000E1D72">
      <w:pPr>
        <w:pStyle w:val="ConsPlusNormal"/>
        <w:jc w:val="right"/>
        <w:outlineLvl w:val="1"/>
      </w:pPr>
      <w:r>
        <w:lastRenderedPageBreak/>
        <w:t>Приложение N 2</w:t>
      </w:r>
    </w:p>
    <w:p w:rsidR="000E1D72" w:rsidRDefault="000E1D72">
      <w:pPr>
        <w:pStyle w:val="ConsPlusNormal"/>
        <w:jc w:val="right"/>
      </w:pPr>
      <w:r>
        <w:t>к СанПиН 2.1.2.1188-03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</w:pPr>
      <w:bookmarkStart w:id="21" w:name="P462"/>
      <w:bookmarkEnd w:id="21"/>
      <w:r>
        <w:t>ЗАБОЛЕВАНИЯ</w:t>
      </w:r>
    </w:p>
    <w:p w:rsidR="000E1D72" w:rsidRDefault="000E1D72">
      <w:pPr>
        <w:pStyle w:val="ConsPlusNormal"/>
        <w:jc w:val="center"/>
      </w:pPr>
      <w:r>
        <w:t>ИНФЕКЦИОННОЙ ПРИРОДЫ, КОТОРЫЕ МОГУТ ПЕРЕДАВАТЬСЯ ЧЕРЕЗ ВОДУ</w:t>
      </w:r>
    </w:p>
    <w:p w:rsidR="000E1D72" w:rsidRDefault="000E1D72">
      <w:pPr>
        <w:pStyle w:val="ConsPlusNormal"/>
        <w:jc w:val="center"/>
      </w:pPr>
      <w:r>
        <w:t>ПЛАВАТЕЛЬНЫХ БАССЕЙНОВ</w:t>
      </w:r>
    </w:p>
    <w:p w:rsidR="000E1D72" w:rsidRDefault="000E1D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2"/>
        <w:gridCol w:w="2880"/>
      </w:tblGrid>
      <w:tr w:rsidR="000E1D72">
        <w:tc>
          <w:tcPr>
            <w:tcW w:w="6902" w:type="dxa"/>
          </w:tcPr>
          <w:p w:rsidR="000E1D72" w:rsidRDefault="000E1D72">
            <w:pPr>
              <w:pStyle w:val="ConsPlusNormal"/>
              <w:jc w:val="center"/>
            </w:pPr>
            <w:r>
              <w:t>Заболевания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Степень связи с водным фактором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1. Аденовирусная </w:t>
            </w:r>
            <w:proofErr w:type="spellStart"/>
            <w:proofErr w:type="gramStart"/>
            <w:r>
              <w:t>фаринго</w:t>
            </w:r>
            <w:proofErr w:type="spellEnd"/>
            <w:r>
              <w:t>-конъюнктивальная</w:t>
            </w:r>
            <w:proofErr w:type="gramEnd"/>
            <w:r>
              <w:t xml:space="preserve"> лихорадка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2. Эпидермофития ("чесотка пловцов")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3. Вирусный гепатит A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4. </w:t>
            </w:r>
            <w:proofErr w:type="spellStart"/>
            <w:r>
              <w:t>Коксаки</w:t>
            </w:r>
            <w:proofErr w:type="spellEnd"/>
            <w:r>
              <w:t xml:space="preserve"> инфекция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5. Дизентерия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  <w:jc w:val="both"/>
            </w:pPr>
            <w:r>
              <w:t>6. Отиты, синуситы, тонзиллиты, конъюнктивиты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7. Туберкулез кожи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8. Грибковые заболевания кожи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9. Легионеллез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10. Энтеробиоз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11. </w:t>
            </w:r>
            <w:proofErr w:type="spellStart"/>
            <w:r>
              <w:t>Лямблиоз</w:t>
            </w:r>
            <w:proofErr w:type="spellEnd"/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12. </w:t>
            </w:r>
            <w:proofErr w:type="spellStart"/>
            <w:r>
              <w:t>Криптоспоридиоз</w:t>
            </w:r>
            <w:proofErr w:type="spellEnd"/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13. Амебный </w:t>
            </w:r>
            <w:proofErr w:type="spellStart"/>
            <w:r>
              <w:t>менингоэнцефалит</w:t>
            </w:r>
            <w:proofErr w:type="spellEnd"/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lastRenderedPageBreak/>
              <w:t>14. Полиомиелит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15. Трахома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16. Контагиозный Моллюск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17. </w:t>
            </w:r>
            <w:proofErr w:type="spellStart"/>
            <w:r>
              <w:t>Гоноррейный</w:t>
            </w:r>
            <w:proofErr w:type="spellEnd"/>
            <w:r>
              <w:t xml:space="preserve"> </w:t>
            </w:r>
            <w:proofErr w:type="spellStart"/>
            <w:r>
              <w:t>вульвовагинит</w:t>
            </w:r>
            <w:proofErr w:type="spellEnd"/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18. Аскаридоз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>19. Трихоцефалез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  <w:jc w:val="both"/>
            </w:pPr>
            <w:r>
              <w:t xml:space="preserve">20. Острые </w:t>
            </w:r>
            <w:proofErr w:type="spellStart"/>
            <w:r>
              <w:t>сальмонеллезные</w:t>
            </w:r>
            <w:proofErr w:type="spellEnd"/>
            <w:r>
              <w:t xml:space="preserve"> гастроэнтериты</w:t>
            </w:r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6902" w:type="dxa"/>
          </w:tcPr>
          <w:p w:rsidR="000E1D72" w:rsidRDefault="000E1D72">
            <w:pPr>
              <w:pStyle w:val="ConsPlusNormal"/>
            </w:pPr>
            <w:r>
              <w:t xml:space="preserve">21. </w:t>
            </w:r>
            <w:proofErr w:type="spellStart"/>
            <w:r>
              <w:t>Стронгилоидоз</w:t>
            </w:r>
            <w:proofErr w:type="spellEnd"/>
          </w:p>
        </w:tc>
        <w:tc>
          <w:tcPr>
            <w:tcW w:w="2880" w:type="dxa"/>
          </w:tcPr>
          <w:p w:rsidR="000E1D72" w:rsidRDefault="000E1D72">
            <w:pPr>
              <w:pStyle w:val="ConsPlusNormal"/>
              <w:jc w:val="center"/>
            </w:pPr>
            <w:r>
              <w:t>+</w:t>
            </w:r>
          </w:p>
        </w:tc>
      </w:tr>
      <w:tr w:rsidR="000E1D72">
        <w:tc>
          <w:tcPr>
            <w:tcW w:w="9782" w:type="dxa"/>
            <w:gridSpan w:val="2"/>
          </w:tcPr>
          <w:p w:rsidR="000E1D72" w:rsidRDefault="000E1D72">
            <w:pPr>
              <w:pStyle w:val="ConsPlusNormal"/>
            </w:pPr>
            <w:r>
              <w:t>Связь с водным фактором: +++ - высокая; ++ - существенная; + - возможная.</w:t>
            </w:r>
          </w:p>
        </w:tc>
      </w:tr>
    </w:tbl>
    <w:p w:rsidR="000E1D72" w:rsidRDefault="000E1D72">
      <w:pPr>
        <w:sectPr w:rsidR="000E1D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right"/>
        <w:outlineLvl w:val="1"/>
      </w:pPr>
      <w:bookmarkStart w:id="22" w:name="P516"/>
      <w:bookmarkEnd w:id="22"/>
      <w:r>
        <w:t>Приложение N 3</w:t>
      </w:r>
    </w:p>
    <w:p w:rsidR="000E1D72" w:rsidRDefault="000E1D72">
      <w:pPr>
        <w:pStyle w:val="ConsPlusNormal"/>
        <w:jc w:val="right"/>
      </w:pPr>
      <w:r>
        <w:t>к СанПиН 2.1.2.1188-03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center"/>
      </w:pPr>
      <w:bookmarkStart w:id="23" w:name="P519"/>
      <w:bookmarkEnd w:id="23"/>
      <w:r>
        <w:t>РЕКОМЕНДУЕМЫЕ ОБЕЗЗАРАЖИВАЮЩИЕ СРЕДСТВА</w:t>
      </w:r>
    </w:p>
    <w:p w:rsidR="000E1D72" w:rsidRDefault="000E1D72">
      <w:pPr>
        <w:pStyle w:val="ConsPlusNormal"/>
        <w:jc w:val="center"/>
      </w:pPr>
      <w:r>
        <w:t>И ДЕЗИНФИЦИРУЮЩИЕ ПРЕПАРАТЫ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ind w:firstLine="540"/>
        <w:jc w:val="both"/>
      </w:pPr>
      <w:r>
        <w:t>1. Для обеззараживания воды плавательных бассейнов: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газообразный хлор;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хлорная известь;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двутретьосновная</w:t>
      </w:r>
      <w:proofErr w:type="spellEnd"/>
      <w:r>
        <w:t xml:space="preserve"> соль гипохлорита кальция, ДТСГК;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натриевая соль </w:t>
      </w:r>
      <w:proofErr w:type="spellStart"/>
      <w:r>
        <w:t>дихлоризоциануровой</w:t>
      </w:r>
      <w:proofErr w:type="spellEnd"/>
      <w:r>
        <w:t xml:space="preserve"> кислоты, ДХЦК;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гипохлорит кальция нейтральный марки</w:t>
      </w:r>
      <w:proofErr w:type="gramStart"/>
      <w:r>
        <w:t xml:space="preserve"> А</w:t>
      </w:r>
      <w:proofErr w:type="gramEnd"/>
      <w:r>
        <w:t>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гипохлорит натрия технический марки</w:t>
      </w:r>
      <w:proofErr w:type="gramStart"/>
      <w:r>
        <w:t xml:space="preserve"> А</w:t>
      </w:r>
      <w:proofErr w:type="gramEnd"/>
      <w:r>
        <w:t>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гипохлорит лития;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дихлорантин</w:t>
      </w:r>
      <w:proofErr w:type="spellEnd"/>
      <w:r>
        <w:t>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дибромантин</w:t>
      </w:r>
      <w:proofErr w:type="spellEnd"/>
      <w:r>
        <w:t>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Акватабс</w:t>
      </w:r>
      <w:proofErr w:type="spellEnd"/>
      <w:r>
        <w:t>".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2. Для профилактической дезинфекции ванн бассейна после слива воды, а также помещений и инвентаря (водные растворы):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хлорная известь: осветленная 1% - для ванн и 0,2 - 0,3% - для помещений и инвентаря;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хлорамин 0,5% - для помещений и инвентаря;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ниртан</w:t>
      </w:r>
      <w:proofErr w:type="spellEnd"/>
      <w:r>
        <w:t xml:space="preserve"> 3%;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гипохлорит натрия технический марки</w:t>
      </w:r>
      <w:proofErr w:type="gramStart"/>
      <w:r>
        <w:t xml:space="preserve"> А</w:t>
      </w:r>
      <w:proofErr w:type="gramEnd"/>
      <w:r>
        <w:t xml:space="preserve"> и Б (0,1 - 0,2%);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хлордезин</w:t>
      </w:r>
      <w:proofErr w:type="spellEnd"/>
      <w:r>
        <w:t xml:space="preserve"> 5,0% - для ванн и композиция: </w:t>
      </w:r>
      <w:proofErr w:type="spellStart"/>
      <w:r>
        <w:t>хлордезин</w:t>
      </w:r>
      <w:proofErr w:type="spellEnd"/>
      <w:r>
        <w:t xml:space="preserve"> 0,5% и </w:t>
      </w:r>
      <w:proofErr w:type="spellStart"/>
      <w:r>
        <w:t>сульфохлорантин</w:t>
      </w:r>
      <w:proofErr w:type="spellEnd"/>
      <w:r>
        <w:t xml:space="preserve"> 0,2% - для помещений и инвентаря;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борная кислота 10% - для ванн;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Дезэффект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"Ника-экстра М";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"РИК-Д";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Септустин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Самаровка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lastRenderedPageBreak/>
        <w:t>- "</w:t>
      </w:r>
      <w:proofErr w:type="spellStart"/>
      <w:r>
        <w:t>Септодор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Аламинол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Велтолен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Лайна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Септабик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"Бромосепт-50";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</w:t>
      </w:r>
      <w:proofErr w:type="spellStart"/>
      <w:r>
        <w:t>Полисепт</w:t>
      </w:r>
      <w:proofErr w:type="spellEnd"/>
      <w:r>
        <w:t>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"БИОПАГ-Д";</w:t>
      </w:r>
    </w:p>
    <w:p w:rsidR="000E1D72" w:rsidRDefault="000E1D72">
      <w:pPr>
        <w:pStyle w:val="ConsPlusNormal"/>
        <w:spacing w:before="220"/>
        <w:ind w:firstLine="540"/>
        <w:jc w:val="both"/>
      </w:pPr>
      <w:r>
        <w:t>- "ФОСФОПАГ-Д".</w:t>
      </w: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jc w:val="both"/>
      </w:pPr>
    </w:p>
    <w:p w:rsidR="000E1D72" w:rsidRDefault="000E1D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20C5" w:rsidRDefault="008F20C5"/>
    <w:sectPr w:rsidR="008F20C5" w:rsidSect="000221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2"/>
    <w:rsid w:val="000E1D72"/>
    <w:rsid w:val="00382EA4"/>
    <w:rsid w:val="00406879"/>
    <w:rsid w:val="008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62CB6B7FE742356CC9CACA320217092AC68F6F275A7CED997CAA50949C246B75D4C0FE5C9E68CY5L0C" TargetMode="External"/><Relationship Id="rId13" Type="http://schemas.openxmlformats.org/officeDocument/2006/relationships/hyperlink" Target="consultantplus://offline/ref=209D7DEC2C477085F2F4586236A2EB374561D314F61250ED1B624B12813D570A5BD3CB81B0ABCD01ZDL6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062CB6B7FE742356CC9CACA320217092AC68F6F275A7CED997CAA50949C246B75D4C09E2CFYELFC" TargetMode="External"/><Relationship Id="rId12" Type="http://schemas.openxmlformats.org/officeDocument/2006/relationships/hyperlink" Target="consultantplus://offline/ref=209D7DEC2C477085F2F4586236A2EB37456DD319F11E50ED1B624B12813D570A5BD3CB81B0ABCD01ZDLBC" TargetMode="External"/><Relationship Id="rId17" Type="http://schemas.openxmlformats.org/officeDocument/2006/relationships/hyperlink" Target="consultantplus://offline/ref=209D7DEC2C477085F2F4586236A2EB37456DD319F11E50ED1B624B12813D570A5BD3CB81B0ABCD01ZDLB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9D7DEC2C477085F2F4586236A2EB37476DDA14F21C0DE7133B47108632081D5C9AC780B0ABCFZ0L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062CB6B7FE742356CC9CACA320217094A96CF1F278FAC4D1CEC6A70E469D51B014400EE5C8E5Y8LBC" TargetMode="External"/><Relationship Id="rId11" Type="http://schemas.openxmlformats.org/officeDocument/2006/relationships/hyperlink" Target="consultantplus://offline/ref=209D7DEC2C477085F2F4586236A2EB37466DD812F21750ED1B624B12813D570A5BD3CB81B0ABCB01ZDLAC" TargetMode="External"/><Relationship Id="rId5" Type="http://schemas.openxmlformats.org/officeDocument/2006/relationships/hyperlink" Target="consultantplus://offline/ref=B9062CB6B7FE742356CC9CACA320217092AC6FF3F474A7CED997CAA50949C246B75D4C0FE5C9E78CY5L4C" TargetMode="External"/><Relationship Id="rId15" Type="http://schemas.openxmlformats.org/officeDocument/2006/relationships/hyperlink" Target="consultantplus://offline/ref=209D7DEC2C477085F2F4586236A2EB37426CDA12F31C0DE7133B47108632081D5C9AC780B0ABCBZ0L0C" TargetMode="External"/><Relationship Id="rId10" Type="http://schemas.openxmlformats.org/officeDocument/2006/relationships/hyperlink" Target="consultantplus://offline/ref=B9062CB6B7FE742356CC9CACA320217093AF63F0FC71A7CED997CAA50949C246B75D4C0FE5C9E68AY5L7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062CB6B7FE742356CC9CACA320217092AC68F6F275A7CED997CAA50949C246B75D4C0FE4C8E28CY5L7C" TargetMode="External"/><Relationship Id="rId14" Type="http://schemas.openxmlformats.org/officeDocument/2006/relationships/hyperlink" Target="consultantplus://offline/ref=209D7DEC2C477085F2F4586236A2EB374D6CDD19F31C0DE7133B47108632081D5C9AC780B0ABC9Z0L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7262</Words>
  <Characters>41394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Загуляева Н.В</dc:creator>
  <cp:lastModifiedBy>Системный администратор</cp:lastModifiedBy>
  <cp:revision>3</cp:revision>
  <dcterms:created xsi:type="dcterms:W3CDTF">2018-09-12T02:11:00Z</dcterms:created>
  <dcterms:modified xsi:type="dcterms:W3CDTF">2018-09-12T05:04:00Z</dcterms:modified>
</cp:coreProperties>
</file>